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0D873A">
      <w:pPr>
        <w:pStyle w:val="2"/>
        <w:pageBreakBefore w:val="0"/>
        <w:kinsoku/>
        <w:wordWrap w:val="0"/>
        <w:bidi w:val="0"/>
        <w:spacing w:before="480" w:after="240" w:line="380" w:lineRule="atLeast"/>
        <w:jc w:val="center"/>
        <w:rPr>
          <w:rFonts w:hint="default" w:ascii="Times New Roman" w:hAnsi="Times New Roman" w:eastAsia="黑体" w:cs="Times New Roman"/>
          <w:b w:val="0"/>
          <w:color w:val="auto"/>
          <w:sz w:val="36"/>
          <w:szCs w:val="36"/>
          <w:highlight w:val="none"/>
        </w:rPr>
      </w:pPr>
      <w:bookmarkStart w:id="0" w:name="_Toc16309"/>
      <w:bookmarkStart w:id="1" w:name="_Toc6815"/>
      <w:bookmarkStart w:id="2" w:name="_Toc15667"/>
      <w:bookmarkStart w:id="3" w:name="_Toc234832942"/>
      <w:r>
        <w:rPr>
          <w:rFonts w:hint="default" w:ascii="Times New Roman" w:hAnsi="Times New Roman" w:eastAsia="黑体" w:cs="Times New Roman"/>
          <w:b w:val="0"/>
          <w:color w:val="auto"/>
          <w:sz w:val="36"/>
          <w:szCs w:val="36"/>
          <w:highlight w:val="none"/>
        </w:rPr>
        <w:t>第三章  评标办法（技术评分最低标价法）</w:t>
      </w:r>
      <w:bookmarkEnd w:id="0"/>
      <w:bookmarkEnd w:id="1"/>
      <w:bookmarkEnd w:id="2"/>
    </w:p>
    <w:p w14:paraId="1DE54FB4">
      <w:pPr>
        <w:pStyle w:val="2"/>
        <w:pageBreakBefore w:val="0"/>
        <w:kinsoku/>
        <w:wordWrap w:val="0"/>
        <w:bidi w:val="0"/>
        <w:spacing w:before="480" w:after="240" w:line="380" w:lineRule="atLeast"/>
        <w:outlineLvl w:val="1"/>
        <w:rPr>
          <w:rFonts w:hint="default" w:ascii="Times New Roman" w:hAnsi="Times New Roman" w:eastAsia="黑体" w:cs="Times New Roman"/>
          <w:b w:val="0"/>
          <w:color w:val="auto"/>
          <w:sz w:val="24"/>
          <w:szCs w:val="24"/>
          <w:highlight w:val="none"/>
        </w:rPr>
      </w:pPr>
      <w:bookmarkStart w:id="4" w:name="_Toc13786"/>
      <w:bookmarkStart w:id="5" w:name="_Toc4019"/>
      <w:bookmarkStart w:id="6" w:name="_Toc3851"/>
      <w:r>
        <w:rPr>
          <w:rFonts w:hint="default" w:ascii="Times New Roman" w:hAnsi="Times New Roman" w:eastAsia="黑体" w:cs="Times New Roman"/>
          <w:b w:val="0"/>
          <w:color w:val="auto"/>
          <w:sz w:val="24"/>
          <w:szCs w:val="24"/>
          <w:highlight w:val="none"/>
        </w:rPr>
        <w:t>评标办法前附表</w:t>
      </w:r>
      <w:bookmarkEnd w:id="4"/>
      <w:bookmarkEnd w:id="5"/>
      <w:bookmarkEnd w:id="6"/>
    </w:p>
    <w:tbl>
      <w:tblPr>
        <w:tblStyle w:val="7"/>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89"/>
        <w:gridCol w:w="1280"/>
        <w:gridCol w:w="6622"/>
      </w:tblGrid>
      <w:tr w14:paraId="467F827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blHeader/>
        </w:trPr>
        <w:tc>
          <w:tcPr>
            <w:tcW w:w="2269" w:type="dxa"/>
            <w:gridSpan w:val="2"/>
            <w:tcBorders>
              <w:top w:val="single" w:color="auto" w:sz="4" w:space="0"/>
              <w:bottom w:val="single" w:color="auto" w:sz="4" w:space="0"/>
              <w:right w:val="single" w:color="auto" w:sz="4" w:space="0"/>
            </w:tcBorders>
            <w:noWrap w:val="0"/>
            <w:vAlign w:val="center"/>
          </w:tcPr>
          <w:p w14:paraId="3324807F">
            <w:pPr>
              <w:pageBreakBefore w:val="0"/>
              <w:kinsoku/>
              <w:wordWrap w:val="0"/>
              <w:bidi w:val="0"/>
              <w:spacing w:line="38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条款号</w:t>
            </w:r>
          </w:p>
        </w:tc>
        <w:tc>
          <w:tcPr>
            <w:tcW w:w="6622" w:type="dxa"/>
            <w:tcBorders>
              <w:top w:val="single" w:color="auto" w:sz="4" w:space="0"/>
              <w:left w:val="single" w:color="auto" w:sz="4" w:space="0"/>
              <w:bottom w:val="single" w:color="auto" w:sz="4" w:space="0"/>
              <w:right w:val="single" w:color="auto" w:sz="4" w:space="0"/>
            </w:tcBorders>
            <w:noWrap w:val="0"/>
            <w:vAlign w:val="center"/>
          </w:tcPr>
          <w:p w14:paraId="26662971">
            <w:pPr>
              <w:pageBreakBefore w:val="0"/>
              <w:kinsoku/>
              <w:wordWrap w:val="0"/>
              <w:bidi w:val="0"/>
              <w:spacing w:line="380" w:lineRule="atLeast"/>
              <w:jc w:val="center"/>
              <w:rPr>
                <w:rFonts w:hint="default" w:ascii="Times New Roman" w:hAnsi="Times New Roman" w:cs="Times New Roman"/>
                <w:b/>
                <w:color w:val="auto"/>
                <w:spacing w:val="4"/>
                <w:szCs w:val="21"/>
                <w:highlight w:val="none"/>
              </w:rPr>
            </w:pPr>
            <w:r>
              <w:rPr>
                <w:rFonts w:hint="default" w:ascii="Times New Roman" w:hAnsi="Times New Roman" w:cs="Times New Roman"/>
                <w:b/>
                <w:color w:val="auto"/>
                <w:spacing w:val="4"/>
                <w:szCs w:val="21"/>
                <w:highlight w:val="none"/>
              </w:rPr>
              <w:t>评审因素与评审标准</w:t>
            </w:r>
          </w:p>
        </w:tc>
      </w:tr>
      <w:tr w14:paraId="2E31E12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06" w:hRule="atLeast"/>
        </w:trPr>
        <w:tc>
          <w:tcPr>
            <w:tcW w:w="989" w:type="dxa"/>
            <w:tcBorders>
              <w:top w:val="single" w:color="auto" w:sz="4" w:space="0"/>
              <w:bottom w:val="single" w:color="auto" w:sz="4" w:space="0"/>
              <w:right w:val="single" w:color="auto" w:sz="4" w:space="0"/>
            </w:tcBorders>
            <w:noWrap w:val="0"/>
            <w:vAlign w:val="center"/>
          </w:tcPr>
          <w:p w14:paraId="6FEDBFF0">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p>
        </w:tc>
        <w:tc>
          <w:tcPr>
            <w:tcW w:w="1280" w:type="dxa"/>
            <w:tcBorders>
              <w:top w:val="single" w:color="auto" w:sz="4" w:space="0"/>
              <w:bottom w:val="single" w:color="auto" w:sz="4" w:space="0"/>
              <w:right w:val="single" w:color="auto" w:sz="4" w:space="0"/>
            </w:tcBorders>
            <w:noWrap w:val="0"/>
            <w:vAlign w:val="center"/>
          </w:tcPr>
          <w:p w14:paraId="1FD2007E">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评标方法</w:t>
            </w:r>
          </w:p>
        </w:tc>
        <w:tc>
          <w:tcPr>
            <w:tcW w:w="6622" w:type="dxa"/>
            <w:tcBorders>
              <w:top w:val="single" w:color="auto" w:sz="4" w:space="0"/>
              <w:left w:val="single" w:color="auto" w:sz="4" w:space="0"/>
              <w:right w:val="single" w:color="auto" w:sz="4" w:space="0"/>
            </w:tcBorders>
            <w:noWrap w:val="0"/>
            <w:vAlign w:val="center"/>
          </w:tcPr>
          <w:p w14:paraId="1F531EE7">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评标价相等时，评标委员会依次按照以下优先顺序推荐中标候选人或确定中标人：</w:t>
            </w:r>
          </w:p>
          <w:p w14:paraId="4F892DDB">
            <w:pPr>
              <w:keepNext w:val="0"/>
              <w:keepLines w:val="0"/>
              <w:widowControl/>
              <w:suppressLineNumbers w:val="0"/>
              <w:jc w:val="left"/>
            </w:pPr>
            <w:r>
              <w:rPr>
                <w:rFonts w:hint="eastAsia" w:ascii="宋体" w:hAnsi="宋体" w:eastAsia="宋体" w:cs="宋体"/>
                <w:color w:val="000000"/>
                <w:kern w:val="0"/>
                <w:sz w:val="20"/>
                <w:szCs w:val="20"/>
                <w:lang w:val="en-US" w:eastAsia="zh-CN" w:bidi="ar"/>
              </w:rPr>
              <w:t>（</w:t>
            </w:r>
            <w:r>
              <w:rPr>
                <w:rFonts w:ascii="Calibri" w:hAnsi="Calibri" w:eastAsia="宋体" w:cs="Calibri"/>
                <w:color w:val="000000"/>
                <w:kern w:val="0"/>
                <w:sz w:val="20"/>
                <w:szCs w:val="20"/>
                <w:lang w:val="en-US" w:eastAsia="zh-CN" w:bidi="ar"/>
              </w:rPr>
              <w:t>1</w:t>
            </w:r>
            <w:r>
              <w:rPr>
                <w:rFonts w:hint="eastAsia" w:ascii="宋体" w:hAnsi="宋体" w:eastAsia="宋体" w:cs="宋体"/>
                <w:color w:val="000000"/>
                <w:kern w:val="0"/>
                <w:sz w:val="20"/>
                <w:szCs w:val="20"/>
                <w:lang w:val="en-US" w:eastAsia="zh-CN" w:bidi="ar"/>
              </w:rPr>
              <w:t>） 被招标项目所在地省级交通运输主管部门评为较高信用等级的投标人优先；</w:t>
            </w:r>
          </w:p>
          <w:p w14:paraId="67351831">
            <w:pPr>
              <w:keepNext w:val="0"/>
              <w:keepLines w:val="0"/>
              <w:widowControl/>
              <w:suppressLineNumbers w:val="0"/>
              <w:jc w:val="left"/>
            </w:pPr>
            <w:r>
              <w:rPr>
                <w:rFonts w:hint="eastAsia" w:ascii="宋体" w:hAnsi="宋体" w:eastAsia="宋体" w:cs="宋体"/>
                <w:color w:val="000000"/>
                <w:kern w:val="0"/>
                <w:sz w:val="20"/>
                <w:szCs w:val="20"/>
                <w:lang w:val="en-US" w:eastAsia="zh-CN" w:bidi="ar"/>
              </w:rPr>
              <w:t>（</w:t>
            </w:r>
            <w:r>
              <w:rPr>
                <w:rFonts w:hint="default" w:ascii="Calibri" w:hAnsi="Calibri" w:eastAsia="宋体" w:cs="Calibri"/>
                <w:color w:val="000000"/>
                <w:kern w:val="0"/>
                <w:sz w:val="20"/>
                <w:szCs w:val="20"/>
                <w:lang w:val="en-US" w:eastAsia="zh-CN" w:bidi="ar"/>
              </w:rPr>
              <w:t>2</w:t>
            </w:r>
            <w:r>
              <w:rPr>
                <w:rFonts w:hint="eastAsia" w:ascii="宋体" w:hAnsi="宋体" w:eastAsia="宋体" w:cs="宋体"/>
                <w:color w:val="000000"/>
                <w:kern w:val="0"/>
                <w:sz w:val="20"/>
                <w:szCs w:val="20"/>
                <w:lang w:val="en-US" w:eastAsia="zh-CN" w:bidi="ar"/>
              </w:rPr>
              <w:t xml:space="preserve">）商务和技术得分较高的投标人优先； </w:t>
            </w:r>
          </w:p>
          <w:p w14:paraId="0087A855">
            <w:pPr>
              <w:keepNext w:val="0"/>
              <w:keepLines w:val="0"/>
              <w:widowControl/>
              <w:suppressLineNumbers w:val="0"/>
              <w:jc w:val="left"/>
              <w:rPr>
                <w:rFonts w:hint="default" w:ascii="Times New Roman" w:hAnsi="Times New Roman" w:cs="Times New Roman"/>
                <w:color w:val="auto"/>
                <w:szCs w:val="21"/>
                <w:highlight w:val="none"/>
                <w:lang w:val="en-US"/>
              </w:rPr>
            </w:pPr>
            <w:r>
              <w:rPr>
                <w:rFonts w:hint="eastAsia" w:ascii="宋体" w:hAnsi="宋体" w:eastAsia="宋体" w:cs="宋体"/>
                <w:color w:val="000000"/>
                <w:kern w:val="0"/>
                <w:sz w:val="20"/>
                <w:szCs w:val="20"/>
                <w:lang w:val="en-US" w:eastAsia="zh-CN" w:bidi="ar"/>
              </w:rPr>
              <w:t>（</w:t>
            </w:r>
            <w:r>
              <w:rPr>
                <w:rFonts w:hint="default" w:ascii="Calibri" w:hAnsi="Calibri" w:eastAsia="宋体" w:cs="Calibri"/>
                <w:color w:val="000000"/>
                <w:kern w:val="0"/>
                <w:sz w:val="20"/>
                <w:szCs w:val="20"/>
                <w:lang w:val="en-US" w:eastAsia="zh-CN" w:bidi="ar"/>
              </w:rPr>
              <w:t>3</w:t>
            </w:r>
            <w:r>
              <w:rPr>
                <w:rFonts w:hint="eastAsia" w:ascii="宋体" w:hAnsi="宋体" w:eastAsia="宋体" w:cs="宋体"/>
                <w:color w:val="000000"/>
                <w:kern w:val="0"/>
                <w:sz w:val="20"/>
                <w:szCs w:val="20"/>
                <w:lang w:val="en-US" w:eastAsia="zh-CN" w:bidi="ar"/>
              </w:rPr>
              <w:t xml:space="preserve">） </w:t>
            </w:r>
            <w:r>
              <w:rPr>
                <w:rFonts w:hint="eastAsia" w:ascii="宋体" w:hAnsi="宋体" w:cs="宋体"/>
                <w:color w:val="000000"/>
                <w:kern w:val="0"/>
                <w:sz w:val="20"/>
                <w:szCs w:val="20"/>
                <w:lang w:val="en-US" w:eastAsia="zh-CN" w:bidi="ar"/>
              </w:rPr>
              <w:t>/</w:t>
            </w:r>
          </w:p>
        </w:tc>
      </w:tr>
      <w:tr w14:paraId="58D1AF0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0" w:hRule="atLeast"/>
        </w:trPr>
        <w:tc>
          <w:tcPr>
            <w:tcW w:w="989" w:type="dxa"/>
            <w:tcBorders>
              <w:top w:val="single" w:color="auto" w:sz="4" w:space="0"/>
              <w:right w:val="single" w:color="auto" w:sz="4" w:space="0"/>
            </w:tcBorders>
            <w:noWrap w:val="0"/>
            <w:vAlign w:val="center"/>
          </w:tcPr>
          <w:p w14:paraId="12A1C278">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2.1.1</w:t>
            </w:r>
          </w:p>
          <w:p w14:paraId="5A431392">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2.1.3</w:t>
            </w:r>
          </w:p>
        </w:tc>
        <w:tc>
          <w:tcPr>
            <w:tcW w:w="1280" w:type="dxa"/>
            <w:tcBorders>
              <w:top w:val="single" w:color="auto" w:sz="4" w:space="0"/>
              <w:bottom w:val="single" w:color="auto" w:sz="4" w:space="0"/>
              <w:right w:val="single" w:color="auto" w:sz="4" w:space="0"/>
            </w:tcBorders>
            <w:noWrap w:val="0"/>
            <w:vAlign w:val="center"/>
          </w:tcPr>
          <w:p w14:paraId="51B4A04F">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形式评审与响应性评审标准</w:t>
            </w:r>
          </w:p>
        </w:tc>
        <w:tc>
          <w:tcPr>
            <w:tcW w:w="6622" w:type="dxa"/>
            <w:tcBorders>
              <w:top w:val="single" w:color="auto" w:sz="4" w:space="0"/>
              <w:left w:val="single" w:color="auto" w:sz="4" w:space="0"/>
              <w:right w:val="single" w:color="auto" w:sz="4" w:space="0"/>
            </w:tcBorders>
            <w:noWrap w:val="0"/>
            <w:vAlign w:val="center"/>
          </w:tcPr>
          <w:p w14:paraId="23D1BCC1">
            <w:pPr>
              <w:keepNext w:val="0"/>
              <w:keepLines w:val="0"/>
              <w:widowControl/>
              <w:suppressLineNumbers w:val="0"/>
              <w:jc w:val="left"/>
              <w:rPr>
                <w:highlight w:val="none"/>
              </w:rPr>
            </w:pPr>
            <w:r>
              <w:rPr>
                <w:rFonts w:hint="eastAsia" w:ascii="宋体" w:hAnsi="宋体" w:eastAsia="宋体" w:cs="宋体"/>
                <w:b/>
                <w:bCs/>
                <w:color w:val="000000"/>
                <w:kern w:val="0"/>
                <w:sz w:val="20"/>
                <w:szCs w:val="20"/>
                <w:highlight w:val="none"/>
                <w:lang w:val="en-US" w:eastAsia="zh-CN" w:bidi="ar"/>
              </w:rPr>
              <w:t>第一个信封（商务及技术文件）评审标准：</w:t>
            </w:r>
            <w:r>
              <w:rPr>
                <w:rFonts w:hint="eastAsia" w:ascii="宋体" w:hAnsi="宋体" w:eastAsia="宋体" w:cs="宋体"/>
                <w:color w:val="000000"/>
                <w:kern w:val="0"/>
                <w:sz w:val="20"/>
                <w:szCs w:val="20"/>
                <w:highlight w:val="none"/>
                <w:lang w:val="en-US" w:eastAsia="zh-CN" w:bidi="ar"/>
              </w:rPr>
              <w:t xml:space="preserve"> </w:t>
            </w:r>
          </w:p>
          <w:p w14:paraId="4AD99B29">
            <w:pPr>
              <w:keepNext w:val="0"/>
              <w:keepLines w:val="0"/>
              <w:widowControl/>
              <w:suppressLineNumbers w:val="0"/>
              <w:jc w:val="left"/>
              <w:rPr>
                <w:highlight w:val="none"/>
              </w:rPr>
            </w:pPr>
            <w:r>
              <w:rPr>
                <w:rFonts w:hint="eastAsia" w:ascii="宋体" w:hAnsi="宋体" w:eastAsia="宋体" w:cs="宋体"/>
                <w:color w:val="000000"/>
                <w:kern w:val="0"/>
                <w:sz w:val="20"/>
                <w:szCs w:val="20"/>
                <w:highlight w:val="none"/>
                <w:lang w:val="en-US" w:eastAsia="zh-CN" w:bidi="ar"/>
              </w:rPr>
              <w:t xml:space="preserve">(1)投标文件按照招标文件规定的格式、内容填写，字迹清晰可辨 </w:t>
            </w:r>
          </w:p>
          <w:p w14:paraId="753A0937">
            <w:pPr>
              <w:keepNext w:val="0"/>
              <w:keepLines w:val="0"/>
              <w:widowControl/>
              <w:suppressLineNumbers w:val="0"/>
              <w:jc w:val="left"/>
              <w:rPr>
                <w:highlight w:val="none"/>
              </w:rPr>
            </w:pPr>
            <w:r>
              <w:rPr>
                <w:rFonts w:hint="eastAsia" w:ascii="宋体" w:hAnsi="宋体" w:eastAsia="宋体" w:cs="宋体"/>
                <w:color w:val="000000"/>
                <w:kern w:val="0"/>
                <w:sz w:val="20"/>
                <w:szCs w:val="20"/>
                <w:highlight w:val="none"/>
                <w:lang w:val="en-US" w:eastAsia="zh-CN" w:bidi="ar"/>
              </w:rPr>
              <w:t xml:space="preserve">a.投标函按招标文件规定填报了项目名称、标段号、补遗书编号（如有）、工期、工程质量要求及安全目标； b.投标函附录的所有数据均符合招标文件规定； c.投标文件组成齐全完整，内容均按规定填写。 </w:t>
            </w:r>
          </w:p>
          <w:p w14:paraId="3CA6A7DA">
            <w:pPr>
              <w:keepNext w:val="0"/>
              <w:keepLines w:val="0"/>
              <w:widowControl/>
              <w:suppressLineNumbers w:val="0"/>
              <w:jc w:val="left"/>
              <w:rPr>
                <w:rFonts w:hint="eastAsia" w:ascii="宋体" w:hAnsi="宋体" w:eastAsia="宋体" w:cs="宋体"/>
                <w:color w:val="000000"/>
                <w:kern w:val="0"/>
                <w:sz w:val="20"/>
                <w:szCs w:val="20"/>
                <w:highlight w:val="none"/>
                <w:lang w:val="en-US" w:eastAsia="zh-CN" w:bidi="ar"/>
              </w:rPr>
            </w:pPr>
            <w:r>
              <w:rPr>
                <w:rFonts w:hint="eastAsia" w:ascii="宋体" w:hAnsi="宋体" w:eastAsia="宋体" w:cs="宋体"/>
                <w:color w:val="000000"/>
                <w:kern w:val="0"/>
                <w:sz w:val="20"/>
                <w:szCs w:val="20"/>
                <w:highlight w:val="none"/>
                <w:lang w:val="en-US" w:eastAsia="zh-CN" w:bidi="ar"/>
              </w:rPr>
              <w:t>(2)投标文件上法定代表人或其委托代理人的签字、投标人的单位章盖章齐全，符合招标文件规定</w:t>
            </w:r>
          </w:p>
          <w:p w14:paraId="330E448C">
            <w:pPr>
              <w:keepNext w:val="0"/>
              <w:keepLines w:val="0"/>
              <w:widowControl/>
              <w:suppressLineNumbers w:val="0"/>
              <w:jc w:val="left"/>
              <w:rPr>
                <w:highlight w:val="none"/>
              </w:rPr>
            </w:pPr>
            <w:r>
              <w:rPr>
                <w:rFonts w:hint="eastAsia" w:ascii="宋体" w:hAnsi="宋体" w:eastAsia="宋体" w:cs="宋体"/>
                <w:color w:val="000000"/>
                <w:kern w:val="0"/>
                <w:sz w:val="20"/>
                <w:szCs w:val="20"/>
                <w:highlight w:val="none"/>
                <w:lang w:val="en-US" w:eastAsia="zh-CN" w:bidi="ar"/>
              </w:rPr>
              <w:t xml:space="preserve">(3)投标人按照招标文件的规定提供了投标保证金a.投标保证金金额符合招标文件规定的金额，且投标保证金有效期不少于投标有效期； </w:t>
            </w:r>
          </w:p>
          <w:p w14:paraId="0E33098E">
            <w:pPr>
              <w:keepNext w:val="0"/>
              <w:keepLines w:val="0"/>
              <w:widowControl/>
              <w:suppressLineNumbers w:val="0"/>
              <w:jc w:val="left"/>
              <w:rPr>
                <w:highlight w:val="none"/>
              </w:rPr>
            </w:pPr>
            <w:r>
              <w:rPr>
                <w:rFonts w:hint="eastAsia" w:ascii="宋体" w:hAnsi="宋体" w:eastAsia="宋体" w:cs="宋体"/>
                <w:color w:val="000000"/>
                <w:kern w:val="0"/>
                <w:sz w:val="20"/>
                <w:szCs w:val="20"/>
                <w:highlight w:val="none"/>
                <w:lang w:val="en-US" w:eastAsia="zh-CN" w:bidi="ar"/>
              </w:rPr>
              <w:t xml:space="preserve">b.若投标保证金采用现金或支票形式提交，投标人应在递交投标文件截止时间之前，将投标保证金由投标人的基本账户转入招标人指定账户； </w:t>
            </w:r>
          </w:p>
          <w:p w14:paraId="090838DB">
            <w:pPr>
              <w:keepNext w:val="0"/>
              <w:keepLines w:val="0"/>
              <w:widowControl/>
              <w:suppressLineNumbers w:val="0"/>
              <w:jc w:val="left"/>
              <w:rPr>
                <w:highlight w:val="none"/>
              </w:rPr>
            </w:pPr>
            <w:r>
              <w:rPr>
                <w:rFonts w:hint="eastAsia" w:ascii="宋体" w:hAnsi="宋体" w:eastAsia="宋体" w:cs="宋体"/>
                <w:color w:val="000000"/>
                <w:kern w:val="0"/>
                <w:sz w:val="20"/>
                <w:szCs w:val="20"/>
                <w:highlight w:val="none"/>
                <w:lang w:val="en-US" w:eastAsia="zh-CN" w:bidi="ar"/>
              </w:rPr>
              <w:t xml:space="preserve">c.若投标保证金采用银行保函形式提交，银行保函的格式、开具保函的银行均满足招标文件要求。 </w:t>
            </w:r>
          </w:p>
          <w:p w14:paraId="68EC5CC9">
            <w:pPr>
              <w:keepNext w:val="0"/>
              <w:keepLines w:val="0"/>
              <w:widowControl/>
              <w:suppressLineNumbers w:val="0"/>
              <w:jc w:val="left"/>
              <w:rPr>
                <w:highlight w:val="none"/>
              </w:rPr>
            </w:pPr>
            <w:r>
              <w:rPr>
                <w:rFonts w:hint="eastAsia" w:ascii="宋体" w:hAnsi="宋体" w:eastAsia="宋体" w:cs="宋体"/>
                <w:color w:val="000000"/>
                <w:kern w:val="0"/>
                <w:sz w:val="20"/>
                <w:szCs w:val="20"/>
                <w:highlight w:val="none"/>
                <w:lang w:val="en-US" w:eastAsia="zh-CN" w:bidi="ar"/>
              </w:rPr>
              <w:t xml:space="preserve">d.若投标保证金采用电子保函形式提交，投标人应在投标文件中提供电子保函的原件扫描件、电子化保函验真渠道和从投标人基本账户支出的保函财务费用支付凭证。 </w:t>
            </w:r>
          </w:p>
          <w:p w14:paraId="2BAF5BBA">
            <w:pPr>
              <w:keepNext w:val="0"/>
              <w:keepLines w:val="0"/>
              <w:widowControl/>
              <w:suppressLineNumbers w:val="0"/>
              <w:jc w:val="left"/>
              <w:rPr>
                <w:rFonts w:hint="eastAsia" w:ascii="宋体" w:hAnsi="宋体" w:eastAsia="宋体" w:cs="宋体"/>
                <w:color w:val="000000"/>
                <w:kern w:val="0"/>
                <w:sz w:val="20"/>
                <w:szCs w:val="20"/>
                <w:highlight w:val="none"/>
                <w:lang w:val="en-US" w:eastAsia="zh-CN" w:bidi="ar"/>
              </w:rPr>
            </w:pPr>
            <w:r>
              <w:rPr>
                <w:rFonts w:hint="eastAsia" w:ascii="宋体" w:hAnsi="宋体" w:eastAsia="宋体" w:cs="宋体"/>
                <w:color w:val="000000"/>
                <w:kern w:val="0"/>
                <w:sz w:val="20"/>
                <w:szCs w:val="20"/>
                <w:highlight w:val="none"/>
                <w:lang w:val="en-US" w:eastAsia="zh-CN" w:bidi="ar"/>
              </w:rPr>
              <w:t>(4)投标人法定代表人授权委托代理人签署投标文件的，须提交授权委托书，且授权人和被授权人均在授权委托书上使用 CA 数字证书加盖个人电子印章或电子签名</w:t>
            </w:r>
          </w:p>
          <w:p w14:paraId="1AB68FFD">
            <w:pPr>
              <w:keepNext w:val="0"/>
              <w:keepLines w:val="0"/>
              <w:widowControl/>
              <w:suppressLineNumbers w:val="0"/>
              <w:jc w:val="left"/>
              <w:rPr>
                <w:rFonts w:hint="eastAsia" w:ascii="宋体" w:hAnsi="宋体" w:eastAsia="宋体" w:cs="宋体"/>
                <w:color w:val="000000"/>
                <w:kern w:val="0"/>
                <w:sz w:val="20"/>
                <w:szCs w:val="20"/>
                <w:highlight w:val="none"/>
                <w:lang w:val="en-US" w:eastAsia="zh-CN" w:bidi="ar"/>
              </w:rPr>
            </w:pPr>
            <w:r>
              <w:rPr>
                <w:rFonts w:hint="eastAsia" w:ascii="宋体" w:hAnsi="宋体" w:eastAsia="宋体" w:cs="宋体"/>
                <w:color w:val="000000"/>
                <w:kern w:val="0"/>
                <w:sz w:val="20"/>
                <w:szCs w:val="20"/>
                <w:highlight w:val="none"/>
                <w:lang w:val="en-US" w:eastAsia="zh-CN" w:bidi="ar"/>
              </w:rPr>
              <w:t>(5)投标人法定代表人亲自签署投标文件的，提供了法定代表人身份证明，且法定代表人在法定代表人身份证明上使用 CA 数字证书加盖个人电子印章或电子签名</w:t>
            </w:r>
          </w:p>
          <w:p w14:paraId="017B39A5">
            <w:pPr>
              <w:keepNext w:val="0"/>
              <w:keepLines w:val="0"/>
              <w:widowControl/>
              <w:suppressLineNumbers w:val="0"/>
              <w:jc w:val="left"/>
              <w:rPr>
                <w:highlight w:val="none"/>
              </w:rPr>
            </w:pPr>
            <w:r>
              <w:rPr>
                <w:rFonts w:hint="eastAsia" w:ascii="宋体" w:hAnsi="宋体" w:eastAsia="宋体" w:cs="宋体"/>
                <w:color w:val="000000"/>
                <w:kern w:val="0"/>
                <w:sz w:val="20"/>
                <w:szCs w:val="20"/>
                <w:highlight w:val="none"/>
                <w:lang w:val="en-US" w:eastAsia="zh-CN" w:bidi="ar"/>
              </w:rPr>
              <w:t xml:space="preserve">(6)投标人以联合体形式投标时，联合体满足招标文件的要求：投 标人按照招标文件提供的格式签订了联合体协议书，明确各方承担连带责任，并明确了联合体牵头人。 </w:t>
            </w:r>
          </w:p>
          <w:p w14:paraId="6CD0E045">
            <w:pPr>
              <w:keepNext w:val="0"/>
              <w:keepLines w:val="0"/>
              <w:widowControl/>
              <w:suppressLineNumbers w:val="0"/>
              <w:jc w:val="left"/>
              <w:rPr>
                <w:highlight w:val="none"/>
              </w:rPr>
            </w:pPr>
            <w:r>
              <w:rPr>
                <w:rFonts w:hint="eastAsia" w:ascii="宋体" w:hAnsi="宋体" w:eastAsia="宋体" w:cs="宋体"/>
                <w:color w:val="000000"/>
                <w:kern w:val="0"/>
                <w:sz w:val="20"/>
                <w:szCs w:val="20"/>
                <w:highlight w:val="none"/>
                <w:lang w:val="en-US" w:eastAsia="zh-CN" w:bidi="ar"/>
              </w:rPr>
              <w:t xml:space="preserve">(7)投标人如有分包计划，符合招标文件第二章规定投标人如有分包计划，符合招标文件第二章“投标人须知” 第1.11 款规定 </w:t>
            </w:r>
          </w:p>
          <w:p w14:paraId="1BB615FD">
            <w:pPr>
              <w:keepNext w:val="0"/>
              <w:keepLines w:val="0"/>
              <w:widowControl/>
              <w:suppressLineNumbers w:val="0"/>
              <w:jc w:val="left"/>
              <w:rPr>
                <w:highlight w:val="none"/>
              </w:rPr>
            </w:pPr>
            <w:r>
              <w:rPr>
                <w:rFonts w:hint="eastAsia" w:ascii="宋体" w:hAnsi="宋体" w:eastAsia="宋体" w:cs="宋体"/>
                <w:color w:val="000000"/>
                <w:kern w:val="0"/>
                <w:sz w:val="20"/>
                <w:szCs w:val="20"/>
                <w:highlight w:val="none"/>
                <w:lang w:val="en-US" w:eastAsia="zh-CN" w:bidi="ar"/>
              </w:rPr>
              <w:t xml:space="preserve">(8)同一投标人未提交两个以上不同的投标文件，但招标文件要求提交备选投标的除外 </w:t>
            </w:r>
          </w:p>
          <w:p w14:paraId="7333551C">
            <w:pPr>
              <w:keepNext w:val="0"/>
              <w:keepLines w:val="0"/>
              <w:widowControl/>
              <w:suppressLineNumbers w:val="0"/>
              <w:jc w:val="left"/>
              <w:rPr>
                <w:highlight w:val="none"/>
              </w:rPr>
            </w:pPr>
            <w:r>
              <w:rPr>
                <w:rFonts w:hint="eastAsia" w:ascii="宋体" w:hAnsi="宋体" w:eastAsia="宋体" w:cs="宋体"/>
                <w:color w:val="000000"/>
                <w:kern w:val="0"/>
                <w:sz w:val="20"/>
                <w:szCs w:val="20"/>
                <w:highlight w:val="none"/>
                <w:lang w:val="en-US" w:eastAsia="zh-CN" w:bidi="ar"/>
              </w:rPr>
              <w:t xml:space="preserve">(9)投标文件中未出现有关投标报价的内容 </w:t>
            </w:r>
          </w:p>
          <w:p w14:paraId="185FAAC6">
            <w:pPr>
              <w:keepNext w:val="0"/>
              <w:keepLines w:val="0"/>
              <w:widowControl/>
              <w:suppressLineNumbers w:val="0"/>
              <w:jc w:val="left"/>
              <w:rPr>
                <w:highlight w:val="none"/>
              </w:rPr>
            </w:pPr>
            <w:r>
              <w:rPr>
                <w:rFonts w:hint="eastAsia" w:ascii="宋体" w:hAnsi="宋体" w:eastAsia="宋体" w:cs="宋体"/>
                <w:color w:val="000000"/>
                <w:kern w:val="0"/>
                <w:sz w:val="20"/>
                <w:szCs w:val="20"/>
                <w:highlight w:val="none"/>
                <w:lang w:val="en-US" w:eastAsia="zh-CN" w:bidi="ar"/>
              </w:rPr>
              <w:t xml:space="preserve">(10)投标文件载明的招标项目完成期限未超过招标文件规定的时限 </w:t>
            </w:r>
          </w:p>
          <w:p w14:paraId="00987CF8">
            <w:pPr>
              <w:keepNext w:val="0"/>
              <w:keepLines w:val="0"/>
              <w:widowControl/>
              <w:suppressLineNumbers w:val="0"/>
              <w:jc w:val="left"/>
              <w:rPr>
                <w:highlight w:val="none"/>
              </w:rPr>
            </w:pPr>
            <w:r>
              <w:rPr>
                <w:rFonts w:hint="eastAsia" w:ascii="宋体" w:hAnsi="宋体" w:eastAsia="宋体" w:cs="宋体"/>
                <w:color w:val="000000"/>
                <w:kern w:val="0"/>
                <w:sz w:val="20"/>
                <w:szCs w:val="20"/>
                <w:highlight w:val="none"/>
                <w:lang w:val="en-US" w:eastAsia="zh-CN" w:bidi="ar"/>
              </w:rPr>
              <w:t xml:space="preserve">(11)投标文件对招标文件的实质性要求和条件作出响应 </w:t>
            </w:r>
          </w:p>
          <w:p w14:paraId="3B097F86">
            <w:pPr>
              <w:keepNext w:val="0"/>
              <w:keepLines w:val="0"/>
              <w:widowControl/>
              <w:suppressLineNumbers w:val="0"/>
              <w:jc w:val="left"/>
              <w:rPr>
                <w:highlight w:val="none"/>
              </w:rPr>
            </w:pPr>
            <w:r>
              <w:rPr>
                <w:rFonts w:hint="eastAsia" w:ascii="宋体" w:hAnsi="宋体" w:eastAsia="宋体" w:cs="宋体"/>
                <w:color w:val="000000"/>
                <w:kern w:val="0"/>
                <w:sz w:val="20"/>
                <w:szCs w:val="20"/>
                <w:highlight w:val="none"/>
                <w:lang w:val="en-US" w:eastAsia="zh-CN" w:bidi="ar"/>
              </w:rPr>
              <w:t xml:space="preserve">(12)权利义务符合招标文件规定 </w:t>
            </w:r>
          </w:p>
          <w:p w14:paraId="22285B5F">
            <w:pPr>
              <w:keepNext w:val="0"/>
              <w:keepLines w:val="0"/>
              <w:widowControl/>
              <w:suppressLineNumbers w:val="0"/>
              <w:jc w:val="left"/>
              <w:rPr>
                <w:highlight w:val="none"/>
              </w:rPr>
            </w:pPr>
            <w:r>
              <w:rPr>
                <w:rFonts w:hint="eastAsia" w:ascii="宋体" w:hAnsi="宋体" w:eastAsia="宋体" w:cs="宋体"/>
                <w:color w:val="000000"/>
                <w:kern w:val="0"/>
                <w:sz w:val="20"/>
                <w:szCs w:val="20"/>
                <w:highlight w:val="none"/>
                <w:lang w:val="en-US" w:eastAsia="zh-CN" w:bidi="ar"/>
              </w:rPr>
              <w:t xml:space="preserve">a.投标人应接受招标文件规定的风险划分原则，未提出新的风险划分办法； b.投标人未增加发包人的责任范围，或减少投标人义务； c.投标人未提出不同的工程验收、计量、支付办法； d.投标人对合同纠纷、事故处理办法未提出异议； e.投标人在投标活动中无欺诈行为； f.投标人未对合同条款有重要保留。 </w:t>
            </w:r>
          </w:p>
          <w:p w14:paraId="523FF447">
            <w:pPr>
              <w:keepNext w:val="0"/>
              <w:keepLines w:val="0"/>
              <w:widowControl/>
              <w:suppressLineNumbers w:val="0"/>
              <w:jc w:val="left"/>
              <w:rPr>
                <w:highlight w:val="none"/>
              </w:rPr>
            </w:pPr>
            <w:r>
              <w:rPr>
                <w:rFonts w:hint="eastAsia" w:ascii="宋体" w:hAnsi="宋体" w:eastAsia="宋体" w:cs="宋体"/>
                <w:color w:val="000000"/>
                <w:kern w:val="0"/>
                <w:sz w:val="20"/>
                <w:szCs w:val="20"/>
                <w:highlight w:val="none"/>
                <w:lang w:val="en-US" w:eastAsia="zh-CN" w:bidi="ar"/>
              </w:rPr>
              <w:t xml:space="preserve">(13)施工组织设计采用暗标形式，其编制须满足招标文件要求“施工组织设计”采用暗标形式，其编制须满足招标文件要求。如“施工组织设计”不满足招标文件暗标要求，由于电子交易平台的原因无法在第一个信封形式和响应性评审阶段予以否决的，其“施工组织设计”各评分项得权重分值的 60%，其投标文件不参与第二个信封的开标。 </w:t>
            </w:r>
          </w:p>
          <w:p w14:paraId="02D2B52B">
            <w:pPr>
              <w:keepNext w:val="0"/>
              <w:keepLines w:val="0"/>
              <w:widowControl/>
              <w:suppressLineNumbers w:val="0"/>
              <w:jc w:val="left"/>
              <w:rPr>
                <w:highlight w:val="none"/>
              </w:rPr>
            </w:pPr>
            <w:r>
              <w:rPr>
                <w:rFonts w:hint="eastAsia" w:ascii="宋体" w:hAnsi="宋体" w:eastAsia="宋体" w:cs="宋体"/>
                <w:color w:val="000000"/>
                <w:kern w:val="0"/>
                <w:sz w:val="20"/>
                <w:szCs w:val="20"/>
                <w:highlight w:val="none"/>
                <w:lang w:val="en-US" w:eastAsia="zh-CN" w:bidi="ar"/>
              </w:rPr>
              <w:t xml:space="preserve">(14)投标人上传投标文件的标段数量满足第一章招标公告规定，投标函上填写的标段号与上传的对应项目标段号一致 </w:t>
            </w:r>
          </w:p>
          <w:p w14:paraId="0952C53F">
            <w:pPr>
              <w:keepNext w:val="0"/>
              <w:keepLines w:val="0"/>
              <w:widowControl/>
              <w:suppressLineNumbers w:val="0"/>
              <w:jc w:val="left"/>
              <w:rPr>
                <w:highlight w:val="none"/>
              </w:rPr>
            </w:pPr>
            <w:r>
              <w:rPr>
                <w:rFonts w:hint="eastAsia" w:ascii="宋体" w:hAnsi="宋体" w:eastAsia="宋体" w:cs="宋体"/>
                <w:color w:val="000000"/>
                <w:kern w:val="0"/>
                <w:sz w:val="20"/>
                <w:szCs w:val="20"/>
                <w:highlight w:val="none"/>
                <w:lang w:val="en-US" w:eastAsia="zh-CN" w:bidi="ar"/>
              </w:rPr>
              <w:t xml:space="preserve">(15)未发现投标人与其他投标人存在使用同一不可篡改的唯一标识软硬件设备投标的（如：MAC 地址、标书制作特征码、标书唯一特 </w:t>
            </w:r>
          </w:p>
          <w:p w14:paraId="75620210">
            <w:pPr>
              <w:keepNext w:val="0"/>
              <w:keepLines w:val="0"/>
              <w:widowControl/>
              <w:suppressLineNumbers w:val="0"/>
              <w:jc w:val="left"/>
              <w:rPr>
                <w:highlight w:val="none"/>
              </w:rPr>
            </w:pPr>
            <w:r>
              <w:rPr>
                <w:rFonts w:hint="eastAsia" w:ascii="宋体" w:hAnsi="宋体" w:eastAsia="宋体" w:cs="宋体"/>
                <w:color w:val="000000"/>
                <w:kern w:val="0"/>
                <w:sz w:val="20"/>
                <w:szCs w:val="20"/>
                <w:highlight w:val="none"/>
                <w:lang w:val="en-US" w:eastAsia="zh-CN" w:bidi="ar"/>
              </w:rPr>
              <w:t xml:space="preserve">征码等） </w:t>
            </w:r>
          </w:p>
          <w:p w14:paraId="00DA7ED0">
            <w:pPr>
              <w:keepNext w:val="0"/>
              <w:keepLines w:val="0"/>
              <w:widowControl/>
              <w:suppressLineNumbers w:val="0"/>
              <w:jc w:val="left"/>
              <w:rPr>
                <w:highlight w:val="none"/>
              </w:rPr>
            </w:pPr>
            <w:r>
              <w:rPr>
                <w:rFonts w:hint="eastAsia" w:ascii="宋体" w:hAnsi="宋体" w:eastAsia="宋体" w:cs="宋体"/>
                <w:color w:val="000000"/>
                <w:kern w:val="0"/>
                <w:sz w:val="20"/>
                <w:szCs w:val="20"/>
                <w:highlight w:val="none"/>
                <w:lang w:val="en-US" w:eastAsia="zh-CN" w:bidi="ar"/>
              </w:rPr>
              <w:t xml:space="preserve">(16)投标人告知承诺函符合招标文件“第六章投标文件格式”规定。 </w:t>
            </w:r>
          </w:p>
          <w:p w14:paraId="434E12EC">
            <w:pPr>
              <w:keepNext w:val="0"/>
              <w:keepLines w:val="0"/>
              <w:widowControl/>
              <w:suppressLineNumbers w:val="0"/>
              <w:jc w:val="left"/>
              <w:rPr>
                <w:highlight w:val="none"/>
              </w:rPr>
            </w:pPr>
            <w:r>
              <w:rPr>
                <w:rFonts w:hint="eastAsia" w:ascii="宋体" w:hAnsi="宋体" w:eastAsia="宋体" w:cs="宋体"/>
                <w:color w:val="000000"/>
                <w:kern w:val="0"/>
                <w:sz w:val="20"/>
                <w:szCs w:val="20"/>
                <w:highlight w:val="none"/>
                <w:lang w:val="en-US" w:eastAsia="zh-CN" w:bidi="ar"/>
              </w:rPr>
              <w:t xml:space="preserve">(17)投标人须提供不拖欠农民工工资承诺书。 </w:t>
            </w:r>
          </w:p>
          <w:p w14:paraId="08336B2E">
            <w:pPr>
              <w:keepNext w:val="0"/>
              <w:keepLines w:val="0"/>
              <w:widowControl/>
              <w:suppressLineNumbers w:val="0"/>
              <w:jc w:val="left"/>
              <w:rPr>
                <w:highlight w:val="none"/>
              </w:rPr>
            </w:pPr>
            <w:r>
              <w:rPr>
                <w:rFonts w:hint="eastAsia" w:ascii="宋体" w:hAnsi="宋体" w:eastAsia="宋体" w:cs="宋体"/>
                <w:b/>
                <w:bCs/>
                <w:color w:val="000000"/>
                <w:kern w:val="0"/>
                <w:sz w:val="20"/>
                <w:szCs w:val="20"/>
                <w:highlight w:val="none"/>
                <w:lang w:val="en-US" w:eastAsia="zh-CN" w:bidi="ar"/>
              </w:rPr>
              <w:t>第二个信封（报价文件）评审标准：</w:t>
            </w:r>
            <w:r>
              <w:rPr>
                <w:rFonts w:hint="eastAsia" w:ascii="宋体" w:hAnsi="宋体" w:eastAsia="宋体" w:cs="宋体"/>
                <w:color w:val="000000"/>
                <w:kern w:val="0"/>
                <w:sz w:val="20"/>
                <w:szCs w:val="20"/>
                <w:highlight w:val="none"/>
                <w:lang w:val="en-US" w:eastAsia="zh-CN" w:bidi="ar"/>
              </w:rPr>
              <w:t xml:space="preserve"> </w:t>
            </w:r>
          </w:p>
          <w:p w14:paraId="0ACEC473">
            <w:pPr>
              <w:keepNext w:val="0"/>
              <w:keepLines w:val="0"/>
              <w:widowControl/>
              <w:suppressLineNumbers w:val="0"/>
              <w:jc w:val="left"/>
              <w:rPr>
                <w:highlight w:val="none"/>
              </w:rPr>
            </w:pPr>
            <w:r>
              <w:rPr>
                <w:rFonts w:hint="eastAsia" w:ascii="宋体" w:hAnsi="宋体" w:eastAsia="宋体" w:cs="宋体"/>
                <w:color w:val="000000"/>
                <w:kern w:val="0"/>
                <w:sz w:val="20"/>
                <w:szCs w:val="20"/>
                <w:highlight w:val="none"/>
                <w:lang w:val="en-US" w:eastAsia="zh-CN" w:bidi="ar"/>
              </w:rPr>
              <w:t xml:space="preserve">(1)投标文件按照招标文件规定的格式、内容填写，字迹清晰可辨a.投标函按招标文件规定填报了项目名称、标段号、补遗书编号（如 有）、投标价（包括大写金额和小写金额）； b.已标价工程量清单说明文字与招标文件规定一致，未进行实质性 修改和删减； c.投标文件组成齐全完整，内容均按规定填写。 </w:t>
            </w:r>
          </w:p>
          <w:p w14:paraId="22806558">
            <w:pPr>
              <w:keepNext w:val="0"/>
              <w:keepLines w:val="0"/>
              <w:widowControl/>
              <w:suppressLineNumbers w:val="0"/>
              <w:jc w:val="left"/>
              <w:rPr>
                <w:rFonts w:hint="eastAsia" w:ascii="宋体" w:hAnsi="宋体" w:eastAsia="宋体" w:cs="宋体"/>
                <w:color w:val="000000"/>
                <w:kern w:val="0"/>
                <w:sz w:val="20"/>
                <w:szCs w:val="20"/>
                <w:highlight w:val="none"/>
                <w:lang w:val="en-US" w:eastAsia="zh-CN" w:bidi="ar"/>
              </w:rPr>
            </w:pPr>
            <w:r>
              <w:rPr>
                <w:rFonts w:hint="eastAsia" w:ascii="宋体" w:hAnsi="宋体" w:eastAsia="宋体" w:cs="宋体"/>
                <w:color w:val="000000"/>
                <w:kern w:val="0"/>
                <w:sz w:val="20"/>
                <w:szCs w:val="20"/>
                <w:highlight w:val="none"/>
                <w:lang w:val="en-US" w:eastAsia="zh-CN" w:bidi="ar"/>
              </w:rPr>
              <w:t>(2)投标文件上法定代表人或其委托代理人的签字、投标人的单位章盖章齐全，符合招标文件规定投标文件上法定代表人或其委托代理人的签字、投标人的单位章盖章齐全，符合招标文件规定</w:t>
            </w:r>
          </w:p>
          <w:p w14:paraId="5784D57E">
            <w:pPr>
              <w:keepNext w:val="0"/>
              <w:keepLines w:val="0"/>
              <w:widowControl/>
              <w:suppressLineNumbers w:val="0"/>
              <w:jc w:val="left"/>
              <w:rPr>
                <w:highlight w:val="none"/>
              </w:rPr>
            </w:pPr>
            <w:r>
              <w:rPr>
                <w:rFonts w:hint="eastAsia" w:ascii="宋体" w:hAnsi="宋体" w:eastAsia="宋体" w:cs="宋体"/>
                <w:color w:val="000000"/>
                <w:kern w:val="0"/>
                <w:sz w:val="20"/>
                <w:szCs w:val="20"/>
                <w:highlight w:val="none"/>
                <w:lang w:val="en-US" w:eastAsia="zh-CN" w:bidi="ar"/>
              </w:rPr>
              <w:t>(3)投标报价</w:t>
            </w:r>
            <w:r>
              <w:rPr>
                <w:rFonts w:hint="eastAsia" w:ascii="宋体" w:hAnsi="宋体" w:cs="宋体"/>
                <w:color w:val="000000"/>
                <w:kern w:val="0"/>
                <w:sz w:val="20"/>
                <w:szCs w:val="20"/>
                <w:highlight w:val="none"/>
                <w:lang w:val="en-US" w:eastAsia="zh-CN" w:bidi="ar"/>
              </w:rPr>
              <w:t>中</w:t>
            </w:r>
            <w:r>
              <w:rPr>
                <w:rFonts w:hint="eastAsia" w:ascii="宋体" w:hAnsi="宋体" w:eastAsia="宋体" w:cs="宋体"/>
                <w:color w:val="000000"/>
                <w:kern w:val="0"/>
                <w:sz w:val="20"/>
                <w:szCs w:val="20"/>
                <w:highlight w:val="none"/>
                <w:lang w:val="en-US" w:eastAsia="zh-CN" w:bidi="ar"/>
              </w:rPr>
              <w:t xml:space="preserve">的报价未超过招标文件设定的最高投标限价（如有） </w:t>
            </w:r>
          </w:p>
          <w:p w14:paraId="70E43918">
            <w:pPr>
              <w:keepNext w:val="0"/>
              <w:keepLines w:val="0"/>
              <w:widowControl/>
              <w:suppressLineNumbers w:val="0"/>
              <w:jc w:val="left"/>
              <w:rPr>
                <w:highlight w:val="none"/>
              </w:rPr>
            </w:pPr>
            <w:r>
              <w:rPr>
                <w:rFonts w:hint="eastAsia" w:ascii="宋体" w:hAnsi="宋体" w:eastAsia="宋体" w:cs="宋体"/>
                <w:color w:val="000000"/>
                <w:kern w:val="0"/>
                <w:sz w:val="20"/>
                <w:szCs w:val="20"/>
                <w:highlight w:val="none"/>
                <w:lang w:val="en-US" w:eastAsia="zh-CN" w:bidi="ar"/>
              </w:rPr>
              <w:t xml:space="preserve">(4)投标报价中报价的大写金额能够确定具体数值 </w:t>
            </w:r>
          </w:p>
          <w:p w14:paraId="7CFE78AE">
            <w:pPr>
              <w:keepNext w:val="0"/>
              <w:keepLines w:val="0"/>
              <w:widowControl/>
              <w:suppressLineNumbers w:val="0"/>
              <w:jc w:val="left"/>
              <w:rPr>
                <w:highlight w:val="none"/>
              </w:rPr>
            </w:pPr>
            <w:r>
              <w:rPr>
                <w:rFonts w:hint="eastAsia" w:ascii="宋体" w:hAnsi="宋体" w:eastAsia="宋体" w:cs="宋体"/>
                <w:color w:val="000000"/>
                <w:kern w:val="0"/>
                <w:sz w:val="20"/>
                <w:szCs w:val="20"/>
                <w:highlight w:val="none"/>
                <w:lang w:val="en-US" w:eastAsia="zh-CN" w:bidi="ar"/>
              </w:rPr>
              <w:t>(5)同一投标人未提交两个以上不同的投标报价，但招标文件要求提交备选投标的除外</w:t>
            </w:r>
          </w:p>
          <w:p w14:paraId="280E2EE8">
            <w:pPr>
              <w:keepNext w:val="0"/>
              <w:keepLines w:val="0"/>
              <w:widowControl/>
              <w:suppressLineNumbers w:val="0"/>
              <w:jc w:val="left"/>
              <w:rPr>
                <w:highlight w:val="none"/>
              </w:rPr>
            </w:pPr>
            <w:r>
              <w:rPr>
                <w:rFonts w:hint="eastAsia" w:ascii="宋体" w:hAnsi="宋体" w:eastAsia="宋体" w:cs="宋体"/>
                <w:color w:val="000000"/>
                <w:kern w:val="0"/>
                <w:sz w:val="20"/>
                <w:szCs w:val="20"/>
                <w:highlight w:val="none"/>
                <w:lang w:val="en-US" w:eastAsia="zh-CN" w:bidi="ar"/>
              </w:rPr>
              <w:t>(6)投标人若填写工程量固化清单，填写完毕的工程量固化清单未对工程量固化清单电子文件中的数据、格式和运算定义进行修改； 工程量固化清单中的投标报价和投标函大写金额报价一致。</w:t>
            </w:r>
          </w:p>
          <w:p w14:paraId="6A08F4DF">
            <w:pPr>
              <w:keepNext w:val="0"/>
              <w:keepLines w:val="0"/>
              <w:widowControl/>
              <w:suppressLineNumbers w:val="0"/>
              <w:jc w:val="left"/>
              <w:rPr>
                <w:rFonts w:hint="default" w:ascii="Times New Roman" w:hAnsi="Times New Roman" w:cs="Times New Roman"/>
                <w:color w:val="auto"/>
                <w:szCs w:val="21"/>
                <w:highlight w:val="none"/>
              </w:rPr>
            </w:pPr>
            <w:r>
              <w:rPr>
                <w:rFonts w:hint="eastAsia" w:ascii="宋体" w:hAnsi="宋体" w:eastAsia="宋体" w:cs="宋体"/>
                <w:color w:val="000000"/>
                <w:kern w:val="0"/>
                <w:sz w:val="20"/>
                <w:szCs w:val="20"/>
                <w:highlight w:val="none"/>
                <w:lang w:val="en-US" w:eastAsia="zh-CN" w:bidi="ar"/>
              </w:rPr>
              <w:t xml:space="preserve">(7)未发现投标人与其他投标人存在使用同一不可篡改的唯一标识软硬件设备投标的未发现投标人与其他投标人存在使用同一不可篡改的唯一标识软硬件设备投标的（如：MAC 地址、标书制作特征码、标书唯一特征码等）。 </w:t>
            </w:r>
          </w:p>
        </w:tc>
      </w:tr>
      <w:tr w14:paraId="4F0706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530" w:hRule="atLeast"/>
        </w:trPr>
        <w:tc>
          <w:tcPr>
            <w:tcW w:w="989" w:type="dxa"/>
            <w:tcBorders>
              <w:top w:val="single" w:color="auto" w:sz="4" w:space="0"/>
              <w:right w:val="single" w:color="auto" w:sz="4" w:space="0"/>
            </w:tcBorders>
            <w:noWrap w:val="0"/>
            <w:vAlign w:val="center"/>
          </w:tcPr>
          <w:p w14:paraId="7DF14698">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2.1.2</w:t>
            </w:r>
          </w:p>
        </w:tc>
        <w:tc>
          <w:tcPr>
            <w:tcW w:w="1280" w:type="dxa"/>
            <w:tcBorders>
              <w:top w:val="single" w:color="auto" w:sz="4" w:space="0"/>
              <w:right w:val="single" w:color="auto" w:sz="4" w:space="0"/>
            </w:tcBorders>
            <w:noWrap w:val="0"/>
            <w:vAlign w:val="center"/>
          </w:tcPr>
          <w:p w14:paraId="53830A65">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资格评审</w:t>
            </w:r>
          </w:p>
          <w:p w14:paraId="3B2F51C0">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标准</w:t>
            </w:r>
          </w:p>
        </w:tc>
        <w:tc>
          <w:tcPr>
            <w:tcW w:w="6622" w:type="dxa"/>
            <w:tcBorders>
              <w:top w:val="single" w:color="auto" w:sz="4" w:space="0"/>
              <w:left w:val="single" w:color="auto" w:sz="4" w:space="0"/>
              <w:right w:val="single" w:color="auto" w:sz="4" w:space="0"/>
            </w:tcBorders>
            <w:noWrap w:val="0"/>
            <w:vAlign w:val="center"/>
          </w:tcPr>
          <w:p w14:paraId="2E8061F5">
            <w:pPr>
              <w:keepNext w:val="0"/>
              <w:keepLines w:val="0"/>
              <w:widowControl/>
              <w:suppressLineNumbers w:val="0"/>
              <w:jc w:val="left"/>
              <w:rPr>
                <w:highlight w:val="none"/>
              </w:rPr>
            </w:pPr>
            <w:r>
              <w:rPr>
                <w:rFonts w:hint="eastAsia" w:ascii="宋体" w:hAnsi="宋体" w:eastAsia="宋体" w:cs="宋体"/>
                <w:color w:val="000000"/>
                <w:kern w:val="0"/>
                <w:sz w:val="20"/>
                <w:szCs w:val="20"/>
                <w:highlight w:val="none"/>
                <w:lang w:val="en-US" w:eastAsia="zh-CN" w:bidi="ar"/>
              </w:rPr>
              <w:t xml:space="preserve">(1)投标人的资质等级符合招标文件规定 </w:t>
            </w:r>
          </w:p>
          <w:p w14:paraId="29ED79E7">
            <w:pPr>
              <w:keepNext w:val="0"/>
              <w:keepLines w:val="0"/>
              <w:widowControl/>
              <w:suppressLineNumbers w:val="0"/>
              <w:jc w:val="left"/>
              <w:rPr>
                <w:highlight w:val="none"/>
              </w:rPr>
            </w:pPr>
            <w:r>
              <w:rPr>
                <w:rFonts w:hint="eastAsia" w:ascii="宋体" w:hAnsi="宋体" w:eastAsia="宋体" w:cs="宋体"/>
                <w:color w:val="000000"/>
                <w:kern w:val="0"/>
                <w:sz w:val="20"/>
                <w:szCs w:val="20"/>
                <w:highlight w:val="none"/>
                <w:lang w:val="en-US" w:eastAsia="zh-CN" w:bidi="ar"/>
              </w:rPr>
              <w:t xml:space="preserve">(2)投标人的财务状况符合招标文件规定 </w:t>
            </w:r>
          </w:p>
          <w:p w14:paraId="7BFA1910">
            <w:pPr>
              <w:keepNext w:val="0"/>
              <w:keepLines w:val="0"/>
              <w:widowControl/>
              <w:suppressLineNumbers w:val="0"/>
              <w:jc w:val="left"/>
              <w:rPr>
                <w:highlight w:val="none"/>
              </w:rPr>
            </w:pPr>
            <w:r>
              <w:rPr>
                <w:rFonts w:hint="eastAsia" w:ascii="宋体" w:hAnsi="宋体" w:eastAsia="宋体" w:cs="宋体"/>
                <w:color w:val="000000"/>
                <w:kern w:val="0"/>
                <w:sz w:val="20"/>
                <w:szCs w:val="20"/>
                <w:highlight w:val="none"/>
                <w:lang w:val="en-US" w:eastAsia="zh-CN" w:bidi="ar"/>
              </w:rPr>
              <w:t xml:space="preserve">(3)投标人的类似项目业绩符合招标文件规定 </w:t>
            </w:r>
          </w:p>
          <w:p w14:paraId="768828D7">
            <w:pPr>
              <w:keepNext w:val="0"/>
              <w:keepLines w:val="0"/>
              <w:widowControl/>
              <w:suppressLineNumbers w:val="0"/>
              <w:jc w:val="left"/>
              <w:rPr>
                <w:highlight w:val="none"/>
              </w:rPr>
            </w:pPr>
            <w:r>
              <w:rPr>
                <w:rFonts w:hint="eastAsia" w:ascii="宋体" w:hAnsi="宋体" w:eastAsia="宋体" w:cs="宋体"/>
                <w:color w:val="000000"/>
                <w:kern w:val="0"/>
                <w:sz w:val="20"/>
                <w:szCs w:val="20"/>
                <w:highlight w:val="none"/>
                <w:lang w:val="en-US" w:eastAsia="zh-CN" w:bidi="ar"/>
              </w:rPr>
              <w:t xml:space="preserve">(4)投标人的信誉符合招标文件规定 </w:t>
            </w:r>
          </w:p>
          <w:p w14:paraId="7EE7011D">
            <w:pPr>
              <w:keepNext w:val="0"/>
              <w:keepLines w:val="0"/>
              <w:widowControl/>
              <w:suppressLineNumbers w:val="0"/>
              <w:jc w:val="left"/>
              <w:rPr>
                <w:highlight w:val="none"/>
              </w:rPr>
            </w:pPr>
            <w:r>
              <w:rPr>
                <w:rFonts w:hint="eastAsia" w:ascii="宋体" w:hAnsi="宋体" w:eastAsia="宋体" w:cs="宋体"/>
                <w:color w:val="000000"/>
                <w:kern w:val="0"/>
                <w:sz w:val="20"/>
                <w:szCs w:val="20"/>
                <w:highlight w:val="none"/>
                <w:lang w:val="en-US" w:eastAsia="zh-CN" w:bidi="ar"/>
              </w:rPr>
              <w:t xml:space="preserve">(5)投标人的项目经理和项目总工资格、在岗情况符合招标文件规 </w:t>
            </w:r>
          </w:p>
          <w:p w14:paraId="765C4710">
            <w:pPr>
              <w:keepNext w:val="0"/>
              <w:keepLines w:val="0"/>
              <w:widowControl/>
              <w:suppressLineNumbers w:val="0"/>
              <w:jc w:val="left"/>
              <w:rPr>
                <w:highlight w:val="none"/>
              </w:rPr>
            </w:pPr>
            <w:r>
              <w:rPr>
                <w:rFonts w:hint="eastAsia" w:ascii="宋体" w:hAnsi="宋体" w:eastAsia="宋体" w:cs="宋体"/>
                <w:color w:val="000000"/>
                <w:kern w:val="0"/>
                <w:sz w:val="20"/>
                <w:szCs w:val="20"/>
                <w:highlight w:val="none"/>
                <w:lang w:val="en-US" w:eastAsia="zh-CN" w:bidi="ar"/>
              </w:rPr>
              <w:t xml:space="preserve">定 </w:t>
            </w:r>
          </w:p>
          <w:p w14:paraId="2F7A2A0B">
            <w:pPr>
              <w:keepNext w:val="0"/>
              <w:keepLines w:val="0"/>
              <w:widowControl/>
              <w:suppressLineNumbers w:val="0"/>
              <w:jc w:val="left"/>
              <w:rPr>
                <w:highlight w:val="none"/>
              </w:rPr>
            </w:pPr>
            <w:r>
              <w:rPr>
                <w:rFonts w:hint="eastAsia" w:ascii="宋体" w:hAnsi="宋体" w:eastAsia="宋体" w:cs="宋体"/>
                <w:color w:val="000000"/>
                <w:kern w:val="0"/>
                <w:sz w:val="20"/>
                <w:szCs w:val="20"/>
                <w:highlight w:val="none"/>
                <w:lang w:val="en-US" w:eastAsia="zh-CN" w:bidi="ar"/>
              </w:rPr>
              <w:t xml:space="preserve">(6)投标人的其他要求符合招标文件规定 </w:t>
            </w:r>
          </w:p>
          <w:p w14:paraId="0BBEC438">
            <w:pPr>
              <w:keepNext w:val="0"/>
              <w:keepLines w:val="0"/>
              <w:widowControl/>
              <w:suppressLineNumbers w:val="0"/>
              <w:jc w:val="left"/>
              <w:rPr>
                <w:highlight w:val="none"/>
              </w:rPr>
            </w:pPr>
            <w:r>
              <w:rPr>
                <w:rFonts w:hint="eastAsia" w:ascii="宋体" w:hAnsi="宋体" w:eastAsia="宋体" w:cs="宋体"/>
                <w:color w:val="000000"/>
                <w:kern w:val="0"/>
                <w:sz w:val="20"/>
                <w:szCs w:val="20"/>
                <w:highlight w:val="none"/>
                <w:lang w:val="en-US" w:eastAsia="zh-CN" w:bidi="ar"/>
              </w:rPr>
              <w:t xml:space="preserve">(7)投标人不存在第二章“投标人须知”第 1.4.3 项或第 1.4.4 </w:t>
            </w:r>
          </w:p>
          <w:p w14:paraId="1D87EDA7">
            <w:pPr>
              <w:keepNext w:val="0"/>
              <w:keepLines w:val="0"/>
              <w:widowControl/>
              <w:suppressLineNumbers w:val="0"/>
              <w:jc w:val="left"/>
              <w:rPr>
                <w:highlight w:val="none"/>
              </w:rPr>
            </w:pPr>
            <w:r>
              <w:rPr>
                <w:rFonts w:hint="eastAsia" w:ascii="宋体" w:hAnsi="宋体" w:eastAsia="宋体" w:cs="宋体"/>
                <w:color w:val="000000"/>
                <w:kern w:val="0"/>
                <w:sz w:val="20"/>
                <w:szCs w:val="20"/>
                <w:highlight w:val="none"/>
                <w:lang w:val="en-US" w:eastAsia="zh-CN" w:bidi="ar"/>
              </w:rPr>
              <w:t xml:space="preserve">项规 定的任何一种情形 </w:t>
            </w:r>
          </w:p>
          <w:p w14:paraId="1AC565FC">
            <w:pPr>
              <w:keepNext w:val="0"/>
              <w:keepLines w:val="0"/>
              <w:widowControl/>
              <w:suppressLineNumbers w:val="0"/>
              <w:jc w:val="left"/>
              <w:rPr>
                <w:highlight w:val="none"/>
              </w:rPr>
            </w:pPr>
            <w:r>
              <w:rPr>
                <w:rFonts w:hint="eastAsia" w:ascii="宋体" w:hAnsi="宋体" w:eastAsia="宋体" w:cs="宋体"/>
                <w:color w:val="000000"/>
                <w:kern w:val="0"/>
                <w:sz w:val="20"/>
                <w:szCs w:val="20"/>
                <w:highlight w:val="none"/>
                <w:lang w:val="en-US" w:eastAsia="zh-CN" w:bidi="ar"/>
              </w:rPr>
              <w:t xml:space="preserve">(8)投标人符合第二章“投标人须知”第 1.4.5 项规定 </w:t>
            </w:r>
          </w:p>
          <w:p w14:paraId="5ECCCD9E">
            <w:pPr>
              <w:keepNext w:val="0"/>
              <w:keepLines w:val="0"/>
              <w:widowControl/>
              <w:suppressLineNumbers w:val="0"/>
              <w:jc w:val="left"/>
              <w:rPr>
                <w:rFonts w:hint="default" w:ascii="Times New Roman" w:hAnsi="Times New Roman" w:cs="Times New Roman"/>
                <w:color w:val="auto"/>
                <w:szCs w:val="21"/>
                <w:highlight w:val="none"/>
              </w:rPr>
            </w:pPr>
            <w:r>
              <w:rPr>
                <w:rFonts w:hint="eastAsia" w:ascii="宋体" w:hAnsi="宋体" w:eastAsia="宋体" w:cs="宋体"/>
                <w:color w:val="000000"/>
                <w:kern w:val="0"/>
                <w:sz w:val="20"/>
                <w:szCs w:val="20"/>
                <w:highlight w:val="none"/>
                <w:lang w:val="en-US" w:eastAsia="zh-CN" w:bidi="ar"/>
              </w:rPr>
              <w:t>(9)投标人具备有效的营业执照、资质证书、安全生产许可证</w:t>
            </w:r>
            <w:r>
              <w:rPr>
                <w:rFonts w:hint="default" w:ascii="Times New Roman" w:hAnsi="Times New Roman" w:cs="Times New Roman"/>
                <w:color w:val="auto"/>
                <w:szCs w:val="21"/>
                <w:highlight w:val="none"/>
              </w:rPr>
              <w:t xml:space="preserve"> </w:t>
            </w:r>
          </w:p>
        </w:tc>
      </w:tr>
      <w:tr w14:paraId="2AE4BF9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89" w:type="dxa"/>
            <w:tcBorders>
              <w:top w:val="single" w:color="auto" w:sz="4" w:space="0"/>
              <w:right w:val="single" w:color="auto" w:sz="4" w:space="0"/>
            </w:tcBorders>
            <w:noWrap w:val="0"/>
            <w:vAlign w:val="center"/>
          </w:tcPr>
          <w:p w14:paraId="3224A61B">
            <w:pPr>
              <w:pageBreakBefore w:val="0"/>
              <w:kinsoku/>
              <w:wordWrap w:val="0"/>
              <w:bidi w:val="0"/>
              <w:spacing w:line="38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条款号</w:t>
            </w:r>
          </w:p>
        </w:tc>
        <w:tc>
          <w:tcPr>
            <w:tcW w:w="1280" w:type="dxa"/>
            <w:tcBorders>
              <w:top w:val="single" w:color="auto" w:sz="4" w:space="0"/>
              <w:right w:val="single" w:color="auto" w:sz="4" w:space="0"/>
            </w:tcBorders>
            <w:noWrap w:val="0"/>
            <w:vAlign w:val="center"/>
          </w:tcPr>
          <w:p w14:paraId="45DE0291">
            <w:pPr>
              <w:pageBreakBefore w:val="0"/>
              <w:kinsoku/>
              <w:wordWrap w:val="0"/>
              <w:bidi w:val="0"/>
              <w:spacing w:line="38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条款内容</w:t>
            </w:r>
          </w:p>
        </w:tc>
        <w:tc>
          <w:tcPr>
            <w:tcW w:w="6622" w:type="dxa"/>
            <w:tcBorders>
              <w:top w:val="single" w:color="auto" w:sz="4" w:space="0"/>
              <w:left w:val="single" w:color="auto" w:sz="4" w:space="0"/>
              <w:right w:val="single" w:color="auto" w:sz="4" w:space="0"/>
            </w:tcBorders>
            <w:noWrap w:val="0"/>
            <w:vAlign w:val="center"/>
          </w:tcPr>
          <w:p w14:paraId="18F9CAA0">
            <w:pPr>
              <w:pageBreakBefore w:val="0"/>
              <w:kinsoku/>
              <w:wordWrap w:val="0"/>
              <w:bidi w:val="0"/>
              <w:spacing w:line="38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编列内容</w:t>
            </w:r>
          </w:p>
        </w:tc>
      </w:tr>
      <w:tr w14:paraId="1CAD65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89" w:type="dxa"/>
            <w:tcBorders>
              <w:top w:val="single" w:color="auto" w:sz="4" w:space="0"/>
              <w:right w:val="single" w:color="auto" w:sz="4" w:space="0"/>
            </w:tcBorders>
            <w:noWrap w:val="0"/>
            <w:vAlign w:val="center"/>
          </w:tcPr>
          <w:p w14:paraId="05460E76">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2.2.1</w:t>
            </w:r>
          </w:p>
        </w:tc>
        <w:tc>
          <w:tcPr>
            <w:tcW w:w="1280" w:type="dxa"/>
            <w:tcBorders>
              <w:top w:val="single" w:color="auto" w:sz="4" w:space="0"/>
              <w:right w:val="single" w:color="auto" w:sz="4" w:space="0"/>
            </w:tcBorders>
            <w:noWrap w:val="0"/>
            <w:vAlign w:val="center"/>
          </w:tcPr>
          <w:p w14:paraId="16C375A1">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第一个信封评分分值构成</w:t>
            </w:r>
          </w:p>
          <w:p w14:paraId="29323222">
            <w:pPr>
              <w:pageBreakBefore w:val="0"/>
              <w:kinsoku/>
              <w:wordWrap w:val="0"/>
              <w:bidi w:val="0"/>
              <w:spacing w:line="380" w:lineRule="atLeast"/>
              <w:ind w:left="-105" w:leftChars="-50" w:right="-105" w:rightChar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（总分100分）</w:t>
            </w:r>
          </w:p>
        </w:tc>
        <w:tc>
          <w:tcPr>
            <w:tcW w:w="6622" w:type="dxa"/>
            <w:tcBorders>
              <w:top w:val="single" w:color="auto" w:sz="4" w:space="0"/>
              <w:left w:val="single" w:color="auto" w:sz="4" w:space="0"/>
              <w:right w:val="single" w:color="auto" w:sz="4" w:space="0"/>
            </w:tcBorders>
            <w:noWrap w:val="0"/>
            <w:vAlign w:val="center"/>
          </w:tcPr>
          <w:p w14:paraId="18E6FE0E">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施工组织设计：</w:t>
            </w:r>
            <w:r>
              <w:rPr>
                <w:rFonts w:hint="default" w:ascii="Times New Roman" w:hAnsi="Times New Roman" w:cs="Times New Roman"/>
                <w:color w:val="auto"/>
                <w:szCs w:val="21"/>
                <w:highlight w:val="none"/>
                <w:u w:val="single"/>
              </w:rPr>
              <w:t xml:space="preserve"> </w:t>
            </w:r>
            <w:r>
              <w:rPr>
                <w:rFonts w:hint="eastAsia" w:cs="Times New Roman"/>
                <w:color w:val="auto"/>
                <w:szCs w:val="21"/>
                <w:highlight w:val="none"/>
                <w:u w:val="single"/>
                <w:lang w:val="en-US" w:eastAsia="zh-CN"/>
              </w:rPr>
              <w:t>40</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p w14:paraId="517C4D53">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主要人员：</w:t>
            </w:r>
            <w:r>
              <w:rPr>
                <w:rFonts w:hint="default" w:ascii="Times New Roman" w:hAnsi="Times New Roman" w:cs="Times New Roman"/>
                <w:color w:val="auto"/>
                <w:szCs w:val="21"/>
                <w:highlight w:val="none"/>
                <w:u w:val="single"/>
              </w:rPr>
              <w:t xml:space="preserve"> </w:t>
            </w:r>
            <w:r>
              <w:rPr>
                <w:rFonts w:hint="eastAsia" w:cs="Times New Roman"/>
                <w:color w:val="auto"/>
                <w:szCs w:val="21"/>
                <w:highlight w:val="none"/>
                <w:u w:val="single"/>
                <w:lang w:val="en-US" w:eastAsia="zh-CN"/>
              </w:rPr>
              <w:t>25</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p w14:paraId="0BCAE22F">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eastAsia" w:cs="Times New Roman"/>
                <w:color w:val="auto"/>
                <w:szCs w:val="21"/>
                <w:highlight w:val="none"/>
                <w:lang w:val="en-US" w:eastAsia="zh-CN"/>
              </w:rPr>
              <w:t>企业业绩</w:t>
            </w: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u w:val="single"/>
              </w:rPr>
              <w:t xml:space="preserve"> </w:t>
            </w:r>
            <w:r>
              <w:rPr>
                <w:rFonts w:hint="eastAsia" w:cs="Times New Roman"/>
                <w:color w:val="auto"/>
                <w:szCs w:val="21"/>
                <w:highlight w:val="none"/>
                <w:u w:val="single"/>
                <w:lang w:val="en-US" w:eastAsia="zh-CN"/>
              </w:rPr>
              <w:t>15</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p w14:paraId="78781B7E">
            <w:pPr>
              <w:pageBreakBefore w:val="0"/>
              <w:kinsoku/>
              <w:wordWrap w:val="0"/>
              <w:bidi w:val="0"/>
              <w:spacing w:line="360" w:lineRule="atLeast"/>
              <w:ind w:firstLine="420" w:firstLineChars="200"/>
              <w:rPr>
                <w:rFonts w:hint="default" w:ascii="Times New Roman" w:hAnsi="Times New Roman" w:cs="Times New Roman"/>
                <w:b/>
                <w:color w:val="auto"/>
                <w:szCs w:val="21"/>
                <w:highlight w:val="none"/>
              </w:rPr>
            </w:pPr>
            <w:r>
              <w:rPr>
                <w:rFonts w:hint="default" w:ascii="Times New Roman" w:hAnsi="Times New Roman" w:cs="Times New Roman"/>
                <w:color w:val="auto"/>
                <w:szCs w:val="21"/>
                <w:highlight w:val="none"/>
              </w:rPr>
              <w:t>履约信誉：</w:t>
            </w:r>
            <w:r>
              <w:rPr>
                <w:rFonts w:hint="default" w:ascii="Times New Roman" w:hAnsi="Times New Roman" w:cs="Times New Roman"/>
                <w:color w:val="auto"/>
                <w:szCs w:val="21"/>
                <w:highlight w:val="none"/>
                <w:u w:val="single"/>
              </w:rPr>
              <w:t xml:space="preserve"> </w:t>
            </w:r>
            <w:r>
              <w:rPr>
                <w:rFonts w:hint="eastAsia" w:cs="Times New Roman"/>
                <w:color w:val="auto"/>
                <w:szCs w:val="21"/>
                <w:highlight w:val="none"/>
                <w:u w:val="single"/>
                <w:lang w:val="en-US" w:eastAsia="zh-CN"/>
              </w:rPr>
              <w:t>20</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r>
      <w:tr w14:paraId="7260213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89" w:type="dxa"/>
            <w:tcBorders>
              <w:top w:val="single" w:color="auto" w:sz="4" w:space="0"/>
              <w:right w:val="single" w:color="auto" w:sz="4" w:space="0"/>
            </w:tcBorders>
            <w:noWrap w:val="0"/>
            <w:vAlign w:val="center"/>
          </w:tcPr>
          <w:p w14:paraId="4D44691D">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2.2.3</w:t>
            </w:r>
          </w:p>
        </w:tc>
        <w:tc>
          <w:tcPr>
            <w:tcW w:w="1280" w:type="dxa"/>
            <w:tcBorders>
              <w:top w:val="single" w:color="auto" w:sz="4" w:space="0"/>
              <w:right w:val="single" w:color="auto" w:sz="4" w:space="0"/>
            </w:tcBorders>
            <w:noWrap w:val="0"/>
            <w:vAlign w:val="center"/>
          </w:tcPr>
          <w:p w14:paraId="17863C0F">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第二个信封详细评审标准</w:t>
            </w:r>
          </w:p>
        </w:tc>
        <w:tc>
          <w:tcPr>
            <w:tcW w:w="6622" w:type="dxa"/>
            <w:tcBorders>
              <w:top w:val="single" w:color="auto" w:sz="4" w:space="0"/>
              <w:left w:val="single" w:color="auto" w:sz="4" w:space="0"/>
              <w:right w:val="single" w:color="auto" w:sz="4" w:space="0"/>
            </w:tcBorders>
            <w:noWrap w:val="0"/>
            <w:vAlign w:val="center"/>
          </w:tcPr>
          <w:p w14:paraId="3A65905A">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评标价计算公式：</w:t>
            </w:r>
          </w:p>
          <w:p w14:paraId="7982C15D">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评标价＝修正后的投标报价－暂估价－暂列金额（不含计日工总额）</w:t>
            </w:r>
          </w:p>
        </w:tc>
      </w:tr>
      <w:tr w14:paraId="0877771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89" w:type="dxa"/>
            <w:tcBorders>
              <w:top w:val="single" w:color="auto" w:sz="4" w:space="0"/>
              <w:right w:val="single" w:color="auto" w:sz="4" w:space="0"/>
            </w:tcBorders>
            <w:noWrap w:val="0"/>
            <w:vAlign w:val="center"/>
          </w:tcPr>
          <w:p w14:paraId="3AA92EEF">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3.2.4</w:t>
            </w:r>
          </w:p>
        </w:tc>
        <w:tc>
          <w:tcPr>
            <w:tcW w:w="1280" w:type="dxa"/>
            <w:tcBorders>
              <w:top w:val="single" w:color="auto" w:sz="4" w:space="0"/>
              <w:right w:val="single" w:color="auto" w:sz="4" w:space="0"/>
            </w:tcBorders>
            <w:noWrap w:val="0"/>
            <w:vAlign w:val="center"/>
          </w:tcPr>
          <w:p w14:paraId="684FAEDE">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通过第一个信封详细评审的投标人数量</w:t>
            </w:r>
          </w:p>
        </w:tc>
        <w:tc>
          <w:tcPr>
            <w:tcW w:w="6622" w:type="dxa"/>
            <w:tcBorders>
              <w:top w:val="single" w:color="auto" w:sz="4" w:space="0"/>
              <w:left w:val="single" w:color="auto" w:sz="4" w:space="0"/>
              <w:right w:val="single" w:color="auto" w:sz="4" w:space="0"/>
            </w:tcBorders>
            <w:noWrap w:val="0"/>
            <w:vAlign w:val="center"/>
          </w:tcPr>
          <w:p w14:paraId="406512CE">
            <w:pPr>
              <w:pageBreakBefore w:val="0"/>
              <w:kinsoku/>
              <w:wordWrap w:val="0"/>
              <w:bidi w:val="0"/>
              <w:spacing w:line="360" w:lineRule="atLeast"/>
              <w:ind w:firstLine="400" w:firstLineChars="200"/>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按照商务和技术得分由高到低排序，对排名在n以内的投标人的报价文件进行评审，n值按参与商务和技术评分投标人数量的30%(数值向下取整)确定，n值不得小于3，不得大于10。</w:t>
            </w:r>
          </w:p>
          <w:p w14:paraId="44DB2748">
            <w:pPr>
              <w:pageBreakBefore w:val="0"/>
              <w:kinsoku/>
              <w:wordWrap w:val="0"/>
              <w:bidi w:val="0"/>
              <w:spacing w:line="360" w:lineRule="atLeast"/>
              <w:ind w:firstLine="400" w:firstLineChars="200"/>
              <w:rPr>
                <w:rFonts w:hint="default" w:cs="Times New Roman"/>
                <w:color w:val="auto"/>
                <w:szCs w:val="21"/>
                <w:highlight w:val="none"/>
                <w:lang w:val="en-US" w:eastAsia="zh-CN"/>
              </w:rPr>
            </w:pPr>
            <w:r>
              <w:rPr>
                <w:rFonts w:hint="eastAsia" w:ascii="宋体" w:hAnsi="宋体" w:eastAsia="宋体" w:cs="宋体"/>
                <w:color w:val="000000"/>
                <w:kern w:val="0"/>
                <w:sz w:val="20"/>
                <w:szCs w:val="20"/>
                <w:lang w:val="en-US" w:eastAsia="zh-CN" w:bidi="ar"/>
              </w:rPr>
              <w:t>注:若商务和技术得分相同，排名并列为n时，则同时进入第二信封。</w:t>
            </w:r>
          </w:p>
        </w:tc>
      </w:tr>
    </w:tbl>
    <w:p w14:paraId="748B0A1C">
      <w:pPr>
        <w:rPr>
          <w:rFonts w:hint="default" w:ascii="Times New Roman" w:hAnsi="Times New Roman" w:cs="Times New Roman"/>
          <w:color w:val="auto"/>
          <w:highlight w:val="none"/>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2"/>
        <w:gridCol w:w="453"/>
        <w:gridCol w:w="918"/>
        <w:gridCol w:w="992"/>
        <w:gridCol w:w="1116"/>
        <w:gridCol w:w="765"/>
        <w:gridCol w:w="3235"/>
      </w:tblGrid>
      <w:tr w14:paraId="2C044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5656" w:type="dxa"/>
            <w:gridSpan w:val="6"/>
            <w:tcBorders>
              <w:top w:val="single" w:color="auto" w:sz="4" w:space="0"/>
            </w:tcBorders>
            <w:noWrap w:val="0"/>
            <w:vAlign w:val="top"/>
          </w:tcPr>
          <w:p w14:paraId="2A3F60C3">
            <w:pPr>
              <w:pageBreakBefore w:val="0"/>
              <w:kinsoku/>
              <w:wordWrap w:val="0"/>
              <w:bidi w:val="0"/>
              <w:spacing w:line="38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评分因素与权重分值</w:t>
            </w:r>
          </w:p>
        </w:tc>
        <w:tc>
          <w:tcPr>
            <w:tcW w:w="3235" w:type="dxa"/>
            <w:vMerge w:val="restart"/>
            <w:tcBorders>
              <w:top w:val="single" w:color="auto" w:sz="4" w:space="0"/>
            </w:tcBorders>
            <w:noWrap w:val="0"/>
            <w:vAlign w:val="center"/>
          </w:tcPr>
          <w:p w14:paraId="34632E09">
            <w:pPr>
              <w:pageBreakBefore w:val="0"/>
              <w:kinsoku/>
              <w:wordWrap w:val="0"/>
              <w:bidi w:val="0"/>
              <w:spacing w:line="38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评分标准</w:t>
            </w:r>
          </w:p>
        </w:tc>
      </w:tr>
      <w:tr w14:paraId="3FCD0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412" w:type="dxa"/>
            <w:noWrap w:val="0"/>
            <w:vAlign w:val="center"/>
          </w:tcPr>
          <w:p w14:paraId="443FA793">
            <w:pPr>
              <w:pageBreakBefore w:val="0"/>
              <w:kinsoku/>
              <w:wordWrap w:val="0"/>
              <w:bidi w:val="0"/>
              <w:spacing w:line="38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条款号</w:t>
            </w:r>
          </w:p>
        </w:tc>
        <w:tc>
          <w:tcPr>
            <w:tcW w:w="1371" w:type="dxa"/>
            <w:gridSpan w:val="2"/>
            <w:noWrap w:val="0"/>
            <w:vAlign w:val="center"/>
          </w:tcPr>
          <w:p w14:paraId="234419A5">
            <w:pPr>
              <w:pageBreakBefore w:val="0"/>
              <w:kinsoku/>
              <w:wordWrap w:val="0"/>
              <w:bidi w:val="0"/>
              <w:spacing w:line="38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评分因素</w:t>
            </w:r>
          </w:p>
        </w:tc>
        <w:tc>
          <w:tcPr>
            <w:tcW w:w="992" w:type="dxa"/>
            <w:noWrap w:val="0"/>
            <w:vAlign w:val="center"/>
          </w:tcPr>
          <w:p w14:paraId="49C9D075">
            <w:pPr>
              <w:pageBreakBefore w:val="0"/>
              <w:kinsoku/>
              <w:wordWrap w:val="0"/>
              <w:bidi w:val="0"/>
              <w:spacing w:line="380" w:lineRule="atLeast"/>
              <w:ind w:left="-105" w:leftChars="-50" w:right="-105" w:rightChars="-5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评分因素权重分值</w:t>
            </w:r>
          </w:p>
        </w:tc>
        <w:tc>
          <w:tcPr>
            <w:tcW w:w="1116" w:type="dxa"/>
            <w:noWrap w:val="0"/>
            <w:vAlign w:val="center"/>
          </w:tcPr>
          <w:p w14:paraId="03AF8E1E">
            <w:pPr>
              <w:pageBreakBefore w:val="0"/>
              <w:kinsoku/>
              <w:wordWrap w:val="0"/>
              <w:bidi w:val="0"/>
              <w:spacing w:line="38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各评分因素细分项</w:t>
            </w:r>
          </w:p>
        </w:tc>
        <w:tc>
          <w:tcPr>
            <w:tcW w:w="765" w:type="dxa"/>
            <w:noWrap w:val="0"/>
            <w:vAlign w:val="center"/>
          </w:tcPr>
          <w:p w14:paraId="1C73331D">
            <w:pPr>
              <w:pageBreakBefore w:val="0"/>
              <w:kinsoku/>
              <w:wordWrap w:val="0"/>
              <w:bidi w:val="0"/>
              <w:spacing w:line="380" w:lineRule="atLeast"/>
              <w:jc w:val="right"/>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分值</w:t>
            </w:r>
          </w:p>
        </w:tc>
        <w:tc>
          <w:tcPr>
            <w:tcW w:w="3235" w:type="dxa"/>
            <w:vMerge w:val="continue"/>
            <w:noWrap w:val="0"/>
            <w:vAlign w:val="top"/>
          </w:tcPr>
          <w:p w14:paraId="04A5CB06">
            <w:pPr>
              <w:pageBreakBefore w:val="0"/>
              <w:kinsoku/>
              <w:wordWrap w:val="0"/>
              <w:bidi w:val="0"/>
              <w:spacing w:line="380" w:lineRule="atLeast"/>
              <w:jc w:val="center"/>
              <w:rPr>
                <w:rFonts w:hint="default" w:ascii="Times New Roman" w:hAnsi="Times New Roman" w:cs="Times New Roman"/>
                <w:b/>
                <w:color w:val="auto"/>
                <w:szCs w:val="21"/>
                <w:highlight w:val="none"/>
              </w:rPr>
            </w:pPr>
          </w:p>
        </w:tc>
      </w:tr>
      <w:tr w14:paraId="4549A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vMerge w:val="restart"/>
            <w:noWrap w:val="0"/>
            <w:vAlign w:val="center"/>
          </w:tcPr>
          <w:p w14:paraId="6A953210">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2.2.2（1）</w:t>
            </w:r>
          </w:p>
        </w:tc>
        <w:tc>
          <w:tcPr>
            <w:tcW w:w="1371" w:type="dxa"/>
            <w:gridSpan w:val="2"/>
            <w:vMerge w:val="restart"/>
            <w:noWrap w:val="0"/>
            <w:vAlign w:val="center"/>
          </w:tcPr>
          <w:p w14:paraId="463796E6">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施工组织设计</w:t>
            </w:r>
          </w:p>
        </w:tc>
        <w:tc>
          <w:tcPr>
            <w:tcW w:w="992" w:type="dxa"/>
            <w:vMerge w:val="restart"/>
            <w:noWrap w:val="0"/>
            <w:vAlign w:val="center"/>
          </w:tcPr>
          <w:p w14:paraId="72A97C14">
            <w:pPr>
              <w:pageBreakBefore w:val="0"/>
              <w:kinsoku/>
              <w:wordWrap w:val="0"/>
              <w:bidi w:val="0"/>
              <w:spacing w:line="380" w:lineRule="atLeast"/>
              <w:jc w:val="right"/>
              <w:rPr>
                <w:rFonts w:hint="default" w:ascii="Times New Roman" w:hAnsi="Times New Roman" w:cs="Times New Roman"/>
                <w:color w:val="auto"/>
                <w:szCs w:val="21"/>
                <w:highlight w:val="none"/>
                <w:u w:val="single"/>
              </w:rPr>
            </w:pPr>
            <w:r>
              <w:rPr>
                <w:rFonts w:hint="default" w:ascii="Times New Roman" w:hAnsi="Times New Roman" w:cs="Times New Roman"/>
                <w:color w:val="auto"/>
                <w:szCs w:val="21"/>
                <w:highlight w:val="none"/>
                <w:u w:val="single"/>
              </w:rPr>
              <w:t xml:space="preserve"> </w:t>
            </w:r>
            <w:r>
              <w:rPr>
                <w:rFonts w:hint="eastAsia" w:cs="Times New Roman"/>
                <w:color w:val="auto"/>
                <w:szCs w:val="21"/>
                <w:highlight w:val="none"/>
                <w:u w:val="single"/>
                <w:lang w:val="en-US" w:eastAsia="zh-CN"/>
              </w:rPr>
              <w:t>40</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1116" w:type="dxa"/>
            <w:noWrap w:val="0"/>
            <w:vAlign w:val="center"/>
          </w:tcPr>
          <w:p w14:paraId="023B089A">
            <w:pPr>
              <w:pageBreakBefore w:val="0"/>
              <w:kinsoku/>
              <w:wordWrap w:val="0"/>
              <w:bidi w:val="0"/>
              <w:spacing w:line="380" w:lineRule="atLeast"/>
              <w:rPr>
                <w:rFonts w:hint="default" w:ascii="Times New Roman" w:hAnsi="Times New Roman" w:cs="Times New Roman"/>
                <w:color w:val="auto"/>
                <w:szCs w:val="21"/>
                <w:highlight w:val="none"/>
              </w:rPr>
            </w:pPr>
            <w:r>
              <w:rPr>
                <w:rFonts w:hint="eastAsia" w:ascii="宋体" w:hAnsi="宋体" w:cs="宋体"/>
                <w:color w:val="auto"/>
                <w:szCs w:val="21"/>
                <w:highlight w:val="none"/>
              </w:rPr>
              <w:t>施工方案总体描述</w:t>
            </w:r>
          </w:p>
        </w:tc>
        <w:tc>
          <w:tcPr>
            <w:tcW w:w="765" w:type="dxa"/>
            <w:noWrap w:val="0"/>
            <w:vAlign w:val="center"/>
          </w:tcPr>
          <w:p w14:paraId="10D7AE44">
            <w:pPr>
              <w:pageBreakBefore w:val="0"/>
              <w:kinsoku/>
              <w:wordWrap w:val="0"/>
              <w:bidi w:val="0"/>
              <w:spacing w:line="380" w:lineRule="atLeast"/>
              <w:jc w:val="right"/>
              <w:rPr>
                <w:rFonts w:hint="default" w:ascii="Times New Roman" w:hAnsi="Times New Roman" w:cs="Times New Roman"/>
                <w:color w:val="auto"/>
                <w:szCs w:val="21"/>
                <w:highlight w:val="none"/>
              </w:rPr>
            </w:pPr>
            <w:r>
              <w:rPr>
                <w:rFonts w:hint="eastAsia" w:cs="Times New Roman"/>
                <w:color w:val="auto"/>
                <w:szCs w:val="21"/>
                <w:highlight w:val="none"/>
                <w:u w:val="single"/>
                <w:lang w:val="en-US" w:eastAsia="zh-CN"/>
              </w:rPr>
              <w:t>10</w:t>
            </w:r>
            <w:r>
              <w:rPr>
                <w:rFonts w:hint="default" w:ascii="Times New Roman" w:hAnsi="Times New Roman" w:cs="Times New Roman"/>
                <w:color w:val="auto"/>
                <w:szCs w:val="21"/>
                <w:highlight w:val="none"/>
              </w:rPr>
              <w:t>分</w:t>
            </w:r>
          </w:p>
        </w:tc>
        <w:tc>
          <w:tcPr>
            <w:tcW w:w="3235" w:type="dxa"/>
            <w:noWrap w:val="0"/>
            <w:vAlign w:val="center"/>
          </w:tcPr>
          <w:p w14:paraId="07A437E3">
            <w:pPr>
              <w:pageBreakBefore w:val="0"/>
              <w:kinsoku/>
              <w:wordWrap w:val="0"/>
              <w:bidi w:val="0"/>
              <w:spacing w:line="380" w:lineRule="atLeast"/>
              <w:rPr>
                <w:rFonts w:hint="default" w:ascii="Times New Roman" w:hAnsi="Times New Roman" w:cs="Times New Roman"/>
                <w:color w:val="auto"/>
                <w:szCs w:val="21"/>
                <w:highlight w:val="none"/>
              </w:rPr>
            </w:pPr>
            <w:r>
              <w:rPr>
                <w:rFonts w:hint="eastAsia" w:ascii="宋体" w:hAnsi="宋体" w:cs="宋体"/>
                <w:color w:val="auto"/>
                <w:highlight w:val="none"/>
              </w:rPr>
              <w:t>施工方案总体描述具体，内容充实。对项目认识深刻，对施工过程有全面深刻的了解，准确掌握项目的特点，对工期目标（包括总工期、节点工期）的分析，对重要问题能够提出有效可行的解决办法和具体措施，能够合理安排雨季的施工内容。对保障工期问题有具体措施，完全满足项目施工需要。横向对比、酌情打分，得分6-10分。</w:t>
            </w:r>
          </w:p>
        </w:tc>
      </w:tr>
      <w:tr w14:paraId="098B9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vMerge w:val="continue"/>
            <w:noWrap w:val="0"/>
            <w:vAlign w:val="center"/>
          </w:tcPr>
          <w:p w14:paraId="1FB78523">
            <w:pPr>
              <w:pageBreakBefore w:val="0"/>
              <w:kinsoku/>
              <w:wordWrap w:val="0"/>
              <w:bidi w:val="0"/>
              <w:spacing w:line="380" w:lineRule="atLeast"/>
              <w:jc w:val="center"/>
              <w:rPr>
                <w:rFonts w:hint="default" w:ascii="Times New Roman" w:hAnsi="Times New Roman" w:cs="Times New Roman"/>
                <w:color w:val="auto"/>
                <w:szCs w:val="21"/>
                <w:highlight w:val="none"/>
              </w:rPr>
            </w:pPr>
          </w:p>
        </w:tc>
        <w:tc>
          <w:tcPr>
            <w:tcW w:w="1371" w:type="dxa"/>
            <w:gridSpan w:val="2"/>
            <w:vMerge w:val="continue"/>
            <w:noWrap w:val="0"/>
            <w:vAlign w:val="center"/>
          </w:tcPr>
          <w:p w14:paraId="35A11975">
            <w:pPr>
              <w:pageBreakBefore w:val="0"/>
              <w:kinsoku/>
              <w:wordWrap w:val="0"/>
              <w:bidi w:val="0"/>
              <w:spacing w:line="380" w:lineRule="atLeast"/>
              <w:jc w:val="center"/>
              <w:rPr>
                <w:rFonts w:hint="default" w:ascii="Times New Roman" w:hAnsi="Times New Roman" w:cs="Times New Roman"/>
                <w:color w:val="auto"/>
                <w:szCs w:val="21"/>
                <w:highlight w:val="none"/>
              </w:rPr>
            </w:pPr>
          </w:p>
        </w:tc>
        <w:tc>
          <w:tcPr>
            <w:tcW w:w="992" w:type="dxa"/>
            <w:vMerge w:val="continue"/>
            <w:noWrap w:val="0"/>
            <w:vAlign w:val="center"/>
          </w:tcPr>
          <w:p w14:paraId="3DB5689D">
            <w:pPr>
              <w:pageBreakBefore w:val="0"/>
              <w:kinsoku/>
              <w:wordWrap w:val="0"/>
              <w:bidi w:val="0"/>
              <w:spacing w:line="380" w:lineRule="atLeast"/>
              <w:jc w:val="right"/>
              <w:rPr>
                <w:rFonts w:hint="default" w:ascii="Times New Roman" w:hAnsi="Times New Roman" w:cs="Times New Roman"/>
                <w:color w:val="auto"/>
                <w:szCs w:val="21"/>
                <w:highlight w:val="none"/>
                <w:u w:val="single"/>
              </w:rPr>
            </w:pPr>
          </w:p>
        </w:tc>
        <w:tc>
          <w:tcPr>
            <w:tcW w:w="1116" w:type="dxa"/>
            <w:noWrap w:val="0"/>
            <w:vAlign w:val="center"/>
          </w:tcPr>
          <w:p w14:paraId="544BC4E6">
            <w:pPr>
              <w:pageBreakBefore w:val="0"/>
              <w:kinsoku/>
              <w:wordWrap w:val="0"/>
              <w:bidi w:val="0"/>
              <w:spacing w:line="380" w:lineRule="atLeast"/>
              <w:rPr>
                <w:rFonts w:hint="eastAsia" w:ascii="宋体" w:hAnsi="宋体" w:cs="宋体"/>
                <w:color w:val="auto"/>
                <w:szCs w:val="21"/>
                <w:highlight w:val="none"/>
              </w:rPr>
            </w:pPr>
            <w:r>
              <w:rPr>
                <w:rFonts w:hint="eastAsia" w:ascii="宋体" w:hAnsi="宋体" w:cs="宋体"/>
                <w:color w:val="auto"/>
                <w:szCs w:val="21"/>
                <w:highlight w:val="none"/>
              </w:rPr>
              <w:t>对项目重点、难点工程的理解及施工方案、工艺流程</w:t>
            </w:r>
          </w:p>
        </w:tc>
        <w:tc>
          <w:tcPr>
            <w:tcW w:w="765" w:type="dxa"/>
            <w:noWrap w:val="0"/>
            <w:vAlign w:val="center"/>
          </w:tcPr>
          <w:p w14:paraId="7497194C">
            <w:pPr>
              <w:pageBreakBefore w:val="0"/>
              <w:kinsoku/>
              <w:wordWrap w:val="0"/>
              <w:bidi w:val="0"/>
              <w:spacing w:line="380" w:lineRule="atLeast"/>
              <w:jc w:val="right"/>
              <w:rPr>
                <w:rFonts w:hint="eastAsia" w:cs="Times New Roman"/>
                <w:color w:val="auto"/>
                <w:szCs w:val="21"/>
                <w:highlight w:val="none"/>
                <w:u w:val="single"/>
                <w:lang w:val="en-US" w:eastAsia="zh-CN"/>
              </w:rPr>
            </w:pPr>
            <w:r>
              <w:rPr>
                <w:rFonts w:hint="eastAsia" w:cs="Times New Roman"/>
                <w:color w:val="auto"/>
                <w:szCs w:val="21"/>
                <w:highlight w:val="none"/>
                <w:u w:val="single"/>
                <w:lang w:val="en-US" w:eastAsia="zh-CN"/>
              </w:rPr>
              <w:t>10</w:t>
            </w:r>
            <w:r>
              <w:rPr>
                <w:rFonts w:hint="default" w:ascii="Times New Roman" w:hAnsi="Times New Roman" w:cs="Times New Roman"/>
                <w:color w:val="auto"/>
                <w:szCs w:val="21"/>
                <w:highlight w:val="none"/>
              </w:rPr>
              <w:t>分</w:t>
            </w:r>
          </w:p>
        </w:tc>
        <w:tc>
          <w:tcPr>
            <w:tcW w:w="3235" w:type="dxa"/>
            <w:noWrap w:val="0"/>
            <w:vAlign w:val="center"/>
          </w:tcPr>
          <w:p w14:paraId="3EBE2685">
            <w:pPr>
              <w:pageBreakBefore w:val="0"/>
              <w:kinsoku/>
              <w:wordWrap w:val="0"/>
              <w:bidi w:val="0"/>
              <w:spacing w:line="380" w:lineRule="atLeast"/>
              <w:rPr>
                <w:rFonts w:hint="eastAsia" w:ascii="宋体" w:hAnsi="宋体" w:cs="宋体"/>
                <w:color w:val="auto"/>
                <w:highlight w:val="none"/>
              </w:rPr>
            </w:pPr>
            <w:r>
              <w:rPr>
                <w:rFonts w:hint="eastAsia" w:ascii="宋体" w:hAnsi="宋体" w:cs="宋体"/>
                <w:color w:val="auto"/>
                <w:highlight w:val="none"/>
              </w:rPr>
              <w:t>对项目重点、难点工程的理解，包括地质条件对施工的影响分析；对路面工程、交通工程及沿线设施等分别选用适合的施工方法、施工工艺和工艺流程，横向对比、酌情打分，得分6-10分。</w:t>
            </w:r>
          </w:p>
        </w:tc>
      </w:tr>
      <w:tr w14:paraId="5FB2F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vMerge w:val="continue"/>
            <w:noWrap w:val="0"/>
            <w:vAlign w:val="center"/>
          </w:tcPr>
          <w:p w14:paraId="30D2AA5A">
            <w:pPr>
              <w:pageBreakBefore w:val="0"/>
              <w:kinsoku/>
              <w:wordWrap w:val="0"/>
              <w:bidi w:val="0"/>
              <w:spacing w:line="380" w:lineRule="atLeast"/>
              <w:jc w:val="center"/>
              <w:rPr>
                <w:rFonts w:hint="default" w:ascii="Times New Roman" w:hAnsi="Times New Roman" w:cs="Times New Roman"/>
                <w:color w:val="auto"/>
                <w:szCs w:val="21"/>
                <w:highlight w:val="none"/>
              </w:rPr>
            </w:pPr>
          </w:p>
        </w:tc>
        <w:tc>
          <w:tcPr>
            <w:tcW w:w="1371" w:type="dxa"/>
            <w:gridSpan w:val="2"/>
            <w:vMerge w:val="continue"/>
            <w:noWrap w:val="0"/>
            <w:vAlign w:val="center"/>
          </w:tcPr>
          <w:p w14:paraId="715C2700">
            <w:pPr>
              <w:pageBreakBefore w:val="0"/>
              <w:kinsoku/>
              <w:wordWrap w:val="0"/>
              <w:bidi w:val="0"/>
              <w:spacing w:line="380" w:lineRule="atLeast"/>
              <w:jc w:val="center"/>
              <w:rPr>
                <w:rFonts w:hint="default" w:ascii="Times New Roman" w:hAnsi="Times New Roman" w:cs="Times New Roman"/>
                <w:color w:val="auto"/>
                <w:szCs w:val="21"/>
                <w:highlight w:val="none"/>
              </w:rPr>
            </w:pPr>
          </w:p>
        </w:tc>
        <w:tc>
          <w:tcPr>
            <w:tcW w:w="992" w:type="dxa"/>
            <w:vMerge w:val="continue"/>
            <w:noWrap w:val="0"/>
            <w:vAlign w:val="center"/>
          </w:tcPr>
          <w:p w14:paraId="0AFB53C9">
            <w:pPr>
              <w:pageBreakBefore w:val="0"/>
              <w:kinsoku/>
              <w:wordWrap w:val="0"/>
              <w:bidi w:val="0"/>
              <w:spacing w:line="380" w:lineRule="atLeast"/>
              <w:jc w:val="right"/>
              <w:rPr>
                <w:rFonts w:hint="default" w:ascii="Times New Roman" w:hAnsi="Times New Roman" w:cs="Times New Roman"/>
                <w:color w:val="auto"/>
                <w:szCs w:val="21"/>
                <w:highlight w:val="none"/>
                <w:u w:val="single"/>
              </w:rPr>
            </w:pPr>
          </w:p>
        </w:tc>
        <w:tc>
          <w:tcPr>
            <w:tcW w:w="1116" w:type="dxa"/>
            <w:noWrap w:val="0"/>
            <w:vAlign w:val="center"/>
          </w:tcPr>
          <w:p w14:paraId="70D9CD2D">
            <w:pPr>
              <w:pageBreakBefore w:val="0"/>
              <w:kinsoku/>
              <w:wordWrap w:val="0"/>
              <w:bidi w:val="0"/>
              <w:spacing w:line="380" w:lineRule="atLeast"/>
              <w:rPr>
                <w:rFonts w:hint="eastAsia" w:ascii="宋体" w:hAnsi="宋体" w:cs="宋体"/>
                <w:color w:val="auto"/>
                <w:szCs w:val="21"/>
                <w:highlight w:val="none"/>
              </w:rPr>
            </w:pPr>
            <w:r>
              <w:rPr>
                <w:rFonts w:hint="eastAsia" w:ascii="宋体" w:hAnsi="宋体" w:cs="宋体"/>
                <w:color w:val="auto"/>
                <w:szCs w:val="21"/>
                <w:highlight w:val="none"/>
              </w:rPr>
              <w:t>施工队伍组织计划及资源配备计划</w:t>
            </w:r>
          </w:p>
        </w:tc>
        <w:tc>
          <w:tcPr>
            <w:tcW w:w="765" w:type="dxa"/>
            <w:noWrap w:val="0"/>
            <w:vAlign w:val="center"/>
          </w:tcPr>
          <w:p w14:paraId="4A353325">
            <w:pPr>
              <w:pageBreakBefore w:val="0"/>
              <w:kinsoku/>
              <w:wordWrap w:val="0"/>
              <w:bidi w:val="0"/>
              <w:spacing w:line="380" w:lineRule="atLeast"/>
              <w:jc w:val="right"/>
              <w:rPr>
                <w:rFonts w:hint="eastAsia" w:cs="Times New Roman"/>
                <w:color w:val="auto"/>
                <w:szCs w:val="21"/>
                <w:highlight w:val="none"/>
                <w:u w:val="single"/>
                <w:lang w:val="en-US" w:eastAsia="zh-CN"/>
              </w:rPr>
            </w:pPr>
            <w:r>
              <w:rPr>
                <w:rFonts w:hint="eastAsia" w:cs="Times New Roman"/>
                <w:color w:val="auto"/>
                <w:szCs w:val="21"/>
                <w:highlight w:val="none"/>
                <w:u w:val="single"/>
                <w:lang w:val="en-US" w:eastAsia="zh-CN"/>
              </w:rPr>
              <w:t>6</w:t>
            </w:r>
            <w:r>
              <w:rPr>
                <w:rFonts w:hint="default" w:ascii="Times New Roman" w:hAnsi="Times New Roman" w:cs="Times New Roman"/>
                <w:color w:val="auto"/>
                <w:szCs w:val="21"/>
                <w:highlight w:val="none"/>
              </w:rPr>
              <w:t>分</w:t>
            </w:r>
          </w:p>
        </w:tc>
        <w:tc>
          <w:tcPr>
            <w:tcW w:w="3235" w:type="dxa"/>
            <w:noWrap w:val="0"/>
            <w:vAlign w:val="center"/>
          </w:tcPr>
          <w:p w14:paraId="6A07958F">
            <w:pPr>
              <w:pageBreakBefore w:val="0"/>
              <w:kinsoku/>
              <w:wordWrap w:val="0"/>
              <w:bidi w:val="0"/>
              <w:spacing w:line="380" w:lineRule="atLeast"/>
              <w:rPr>
                <w:rFonts w:hint="eastAsia" w:ascii="宋体" w:hAnsi="宋体" w:cs="宋体"/>
                <w:color w:val="auto"/>
                <w:highlight w:val="none"/>
              </w:rPr>
            </w:pPr>
            <w:r>
              <w:rPr>
                <w:rFonts w:hint="eastAsia" w:ascii="宋体" w:hAnsi="宋体" w:cs="宋体"/>
                <w:color w:val="auto"/>
                <w:highlight w:val="none"/>
              </w:rPr>
              <w:t>投标人拟投入的施工队伍对项目施工有较强的技术把握能力和丰富的施工经验；其施工组织计划内容详实，任务明确，对施工有明确的指导作用；拟投入施工机械设备和主要材料配备齐全，数量充足；各专业工程技术人员、劳动力配备，工种合理，数量种类均能满足各工序施工要求。对施工工序安排，全面、合理，充分考虑各工序的交叉作业，有保证措施确保计划的全面实施。横向对比、酌情打分，得分</w:t>
            </w:r>
            <w:r>
              <w:rPr>
                <w:rFonts w:hint="eastAsia" w:ascii="宋体" w:hAnsi="宋体" w:cs="宋体"/>
                <w:color w:val="auto"/>
                <w:highlight w:val="none"/>
                <w:lang w:val="en-US" w:eastAsia="zh-CN"/>
              </w:rPr>
              <w:t>3.6</w:t>
            </w:r>
            <w:r>
              <w:rPr>
                <w:rFonts w:hint="eastAsia" w:ascii="宋体" w:hAnsi="宋体" w:cs="宋体"/>
                <w:color w:val="auto"/>
                <w:highlight w:val="none"/>
              </w:rPr>
              <w:t>-</w:t>
            </w:r>
            <w:r>
              <w:rPr>
                <w:rFonts w:hint="eastAsia" w:ascii="宋体" w:hAnsi="宋体" w:cs="宋体"/>
                <w:color w:val="auto"/>
                <w:highlight w:val="none"/>
                <w:lang w:val="en-US" w:eastAsia="zh-CN"/>
              </w:rPr>
              <w:t>6</w:t>
            </w:r>
            <w:r>
              <w:rPr>
                <w:rFonts w:hint="eastAsia" w:ascii="宋体" w:hAnsi="宋体" w:cs="宋体"/>
                <w:color w:val="auto"/>
                <w:highlight w:val="none"/>
              </w:rPr>
              <w:t>分。</w:t>
            </w:r>
          </w:p>
        </w:tc>
      </w:tr>
      <w:tr w14:paraId="10334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vMerge w:val="continue"/>
            <w:noWrap w:val="0"/>
            <w:vAlign w:val="center"/>
          </w:tcPr>
          <w:p w14:paraId="10A020A7">
            <w:pPr>
              <w:pageBreakBefore w:val="0"/>
              <w:kinsoku/>
              <w:wordWrap w:val="0"/>
              <w:bidi w:val="0"/>
              <w:spacing w:line="380" w:lineRule="atLeast"/>
              <w:jc w:val="center"/>
              <w:rPr>
                <w:rFonts w:hint="default" w:ascii="Times New Roman" w:hAnsi="Times New Roman" w:cs="Times New Roman"/>
                <w:color w:val="auto"/>
                <w:szCs w:val="21"/>
                <w:highlight w:val="none"/>
              </w:rPr>
            </w:pPr>
          </w:p>
        </w:tc>
        <w:tc>
          <w:tcPr>
            <w:tcW w:w="1371" w:type="dxa"/>
            <w:gridSpan w:val="2"/>
            <w:vMerge w:val="continue"/>
            <w:noWrap w:val="0"/>
            <w:vAlign w:val="center"/>
          </w:tcPr>
          <w:p w14:paraId="7FC9428C">
            <w:pPr>
              <w:pageBreakBefore w:val="0"/>
              <w:kinsoku/>
              <w:wordWrap w:val="0"/>
              <w:bidi w:val="0"/>
              <w:spacing w:line="380" w:lineRule="atLeast"/>
              <w:jc w:val="center"/>
              <w:rPr>
                <w:rFonts w:hint="default" w:ascii="Times New Roman" w:hAnsi="Times New Roman" w:cs="Times New Roman"/>
                <w:color w:val="auto"/>
                <w:szCs w:val="21"/>
                <w:highlight w:val="none"/>
              </w:rPr>
            </w:pPr>
          </w:p>
        </w:tc>
        <w:tc>
          <w:tcPr>
            <w:tcW w:w="992" w:type="dxa"/>
            <w:vMerge w:val="continue"/>
            <w:noWrap w:val="0"/>
            <w:vAlign w:val="center"/>
          </w:tcPr>
          <w:p w14:paraId="5C82B809">
            <w:pPr>
              <w:pageBreakBefore w:val="0"/>
              <w:kinsoku/>
              <w:wordWrap w:val="0"/>
              <w:bidi w:val="0"/>
              <w:spacing w:line="380" w:lineRule="atLeast"/>
              <w:jc w:val="right"/>
              <w:rPr>
                <w:rFonts w:hint="default" w:ascii="Times New Roman" w:hAnsi="Times New Roman" w:cs="Times New Roman"/>
                <w:color w:val="auto"/>
                <w:szCs w:val="21"/>
                <w:highlight w:val="none"/>
                <w:u w:val="single"/>
              </w:rPr>
            </w:pPr>
          </w:p>
        </w:tc>
        <w:tc>
          <w:tcPr>
            <w:tcW w:w="1116" w:type="dxa"/>
            <w:noWrap w:val="0"/>
            <w:vAlign w:val="center"/>
          </w:tcPr>
          <w:p w14:paraId="74AF37AD">
            <w:pPr>
              <w:pageBreakBefore w:val="0"/>
              <w:kinsoku/>
              <w:wordWrap w:val="0"/>
              <w:bidi w:val="0"/>
              <w:spacing w:line="380" w:lineRule="atLeast"/>
              <w:rPr>
                <w:rFonts w:hint="eastAsia" w:ascii="宋体" w:hAnsi="宋体" w:cs="宋体"/>
                <w:color w:val="auto"/>
                <w:szCs w:val="21"/>
                <w:highlight w:val="none"/>
              </w:rPr>
            </w:pPr>
            <w:r>
              <w:rPr>
                <w:rFonts w:hint="eastAsia" w:ascii="宋体" w:hAnsi="宋体" w:cs="宋体"/>
                <w:color w:val="auto"/>
                <w:szCs w:val="21"/>
                <w:highlight w:val="none"/>
              </w:rPr>
              <w:t>质量、工期、安全生产保证方案和措施</w:t>
            </w:r>
          </w:p>
        </w:tc>
        <w:tc>
          <w:tcPr>
            <w:tcW w:w="765" w:type="dxa"/>
            <w:noWrap w:val="0"/>
            <w:vAlign w:val="center"/>
          </w:tcPr>
          <w:p w14:paraId="3F4D2769">
            <w:pPr>
              <w:pageBreakBefore w:val="0"/>
              <w:kinsoku/>
              <w:wordWrap w:val="0"/>
              <w:bidi w:val="0"/>
              <w:spacing w:line="380" w:lineRule="atLeast"/>
              <w:jc w:val="right"/>
              <w:rPr>
                <w:rFonts w:hint="eastAsia" w:cs="Times New Roman"/>
                <w:color w:val="auto"/>
                <w:szCs w:val="21"/>
                <w:highlight w:val="none"/>
                <w:u w:val="single"/>
                <w:lang w:val="en-US" w:eastAsia="zh-CN"/>
              </w:rPr>
            </w:pPr>
            <w:r>
              <w:rPr>
                <w:rFonts w:hint="eastAsia" w:cs="Times New Roman"/>
                <w:color w:val="auto"/>
                <w:szCs w:val="21"/>
                <w:highlight w:val="none"/>
                <w:u w:val="single"/>
                <w:lang w:val="en-US" w:eastAsia="zh-CN"/>
              </w:rPr>
              <w:t>5</w:t>
            </w:r>
            <w:r>
              <w:rPr>
                <w:rFonts w:hint="default" w:ascii="Times New Roman" w:hAnsi="Times New Roman" w:cs="Times New Roman"/>
                <w:color w:val="auto"/>
                <w:szCs w:val="21"/>
                <w:highlight w:val="none"/>
              </w:rPr>
              <w:t>分</w:t>
            </w:r>
          </w:p>
        </w:tc>
        <w:tc>
          <w:tcPr>
            <w:tcW w:w="3235" w:type="dxa"/>
            <w:noWrap w:val="0"/>
            <w:vAlign w:val="center"/>
          </w:tcPr>
          <w:p w14:paraId="23B44B1C">
            <w:pPr>
              <w:pageBreakBefore w:val="0"/>
              <w:kinsoku/>
              <w:wordWrap w:val="0"/>
              <w:bidi w:val="0"/>
              <w:spacing w:line="380" w:lineRule="atLeast"/>
              <w:rPr>
                <w:rFonts w:hint="eastAsia" w:ascii="宋体" w:hAnsi="宋体" w:cs="宋体"/>
                <w:color w:val="auto"/>
                <w:highlight w:val="none"/>
              </w:rPr>
            </w:pPr>
            <w:r>
              <w:rPr>
                <w:rFonts w:hint="eastAsia" w:ascii="宋体" w:hAnsi="宋体" w:cs="宋体"/>
                <w:color w:val="auto"/>
                <w:highlight w:val="none"/>
              </w:rPr>
              <w:t>质量保证措施包括质量目标、质量管理体系、质量保证措施等；工期保证措施包括工期目标、工期保证体系、保证工期的组织措施、技术措施等；安全生产保证措施包括安全目标、安全制度保证措施、施工安全措施、可能出现的安全问题或隐患、事故应急预案及措施疫情防控措施、平安工地建设等，横向对比、酌情打分，得分3-5分。</w:t>
            </w:r>
          </w:p>
        </w:tc>
      </w:tr>
      <w:tr w14:paraId="35FC0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vMerge w:val="continue"/>
            <w:noWrap w:val="0"/>
            <w:vAlign w:val="center"/>
          </w:tcPr>
          <w:p w14:paraId="7F20586E">
            <w:pPr>
              <w:pageBreakBefore w:val="0"/>
              <w:kinsoku/>
              <w:wordWrap w:val="0"/>
              <w:bidi w:val="0"/>
              <w:spacing w:line="380" w:lineRule="atLeast"/>
              <w:jc w:val="center"/>
              <w:rPr>
                <w:rFonts w:hint="default" w:ascii="Times New Roman" w:hAnsi="Times New Roman" w:cs="Times New Roman"/>
                <w:color w:val="auto"/>
                <w:szCs w:val="21"/>
                <w:highlight w:val="none"/>
              </w:rPr>
            </w:pPr>
          </w:p>
        </w:tc>
        <w:tc>
          <w:tcPr>
            <w:tcW w:w="1371" w:type="dxa"/>
            <w:gridSpan w:val="2"/>
            <w:vMerge w:val="continue"/>
            <w:noWrap w:val="0"/>
            <w:vAlign w:val="center"/>
          </w:tcPr>
          <w:p w14:paraId="6A8BA5AD">
            <w:pPr>
              <w:pageBreakBefore w:val="0"/>
              <w:kinsoku/>
              <w:wordWrap w:val="0"/>
              <w:bidi w:val="0"/>
              <w:spacing w:line="380" w:lineRule="atLeast"/>
              <w:jc w:val="center"/>
              <w:rPr>
                <w:rFonts w:hint="default" w:ascii="Times New Roman" w:hAnsi="Times New Roman" w:cs="Times New Roman"/>
                <w:color w:val="auto"/>
                <w:szCs w:val="21"/>
                <w:highlight w:val="none"/>
              </w:rPr>
            </w:pPr>
          </w:p>
        </w:tc>
        <w:tc>
          <w:tcPr>
            <w:tcW w:w="992" w:type="dxa"/>
            <w:vMerge w:val="continue"/>
            <w:noWrap w:val="0"/>
            <w:vAlign w:val="center"/>
          </w:tcPr>
          <w:p w14:paraId="5B3A8D33">
            <w:pPr>
              <w:pageBreakBefore w:val="0"/>
              <w:kinsoku/>
              <w:wordWrap w:val="0"/>
              <w:bidi w:val="0"/>
              <w:spacing w:line="380" w:lineRule="atLeast"/>
              <w:jc w:val="right"/>
              <w:rPr>
                <w:rFonts w:hint="default" w:ascii="Times New Roman" w:hAnsi="Times New Roman" w:cs="Times New Roman"/>
                <w:color w:val="auto"/>
                <w:szCs w:val="21"/>
                <w:highlight w:val="none"/>
                <w:u w:val="single"/>
              </w:rPr>
            </w:pPr>
          </w:p>
        </w:tc>
        <w:tc>
          <w:tcPr>
            <w:tcW w:w="1116" w:type="dxa"/>
            <w:noWrap w:val="0"/>
            <w:vAlign w:val="center"/>
          </w:tcPr>
          <w:p w14:paraId="79C16583">
            <w:pPr>
              <w:pageBreakBefore w:val="0"/>
              <w:kinsoku/>
              <w:wordWrap w:val="0"/>
              <w:bidi w:val="0"/>
              <w:spacing w:line="380" w:lineRule="atLeast"/>
              <w:rPr>
                <w:rFonts w:hint="eastAsia" w:ascii="宋体" w:hAnsi="宋体" w:cs="宋体"/>
                <w:color w:val="auto"/>
                <w:szCs w:val="21"/>
                <w:highlight w:val="none"/>
              </w:rPr>
            </w:pPr>
            <w:r>
              <w:rPr>
                <w:rFonts w:hint="eastAsia" w:ascii="宋体" w:hAnsi="宋体" w:cs="宋体"/>
                <w:color w:val="auto"/>
                <w:szCs w:val="21"/>
                <w:highlight w:val="none"/>
                <w:lang w:eastAsia="zh-CN"/>
              </w:rPr>
              <w:t>现场标准化</w:t>
            </w:r>
            <w:r>
              <w:rPr>
                <w:rFonts w:hint="eastAsia" w:ascii="宋体" w:hAnsi="宋体"/>
                <w:color w:val="auto"/>
                <w:szCs w:val="21"/>
                <w:highlight w:val="none"/>
              </w:rPr>
              <w:t>保证体系和措施</w:t>
            </w:r>
          </w:p>
        </w:tc>
        <w:tc>
          <w:tcPr>
            <w:tcW w:w="765" w:type="dxa"/>
            <w:noWrap w:val="0"/>
            <w:vAlign w:val="center"/>
          </w:tcPr>
          <w:p w14:paraId="20B6D0C6">
            <w:pPr>
              <w:pageBreakBefore w:val="0"/>
              <w:kinsoku/>
              <w:wordWrap w:val="0"/>
              <w:bidi w:val="0"/>
              <w:spacing w:line="380" w:lineRule="atLeast"/>
              <w:jc w:val="right"/>
              <w:rPr>
                <w:rFonts w:hint="eastAsia" w:cs="Times New Roman"/>
                <w:color w:val="auto"/>
                <w:szCs w:val="21"/>
                <w:highlight w:val="none"/>
                <w:u w:val="single"/>
                <w:lang w:val="en-US" w:eastAsia="zh-CN"/>
              </w:rPr>
            </w:pPr>
            <w:r>
              <w:rPr>
                <w:rFonts w:hint="eastAsia" w:cs="Times New Roman"/>
                <w:color w:val="auto"/>
                <w:szCs w:val="21"/>
                <w:highlight w:val="none"/>
                <w:u w:val="single"/>
                <w:lang w:val="en-US" w:eastAsia="zh-CN"/>
              </w:rPr>
              <w:t>4</w:t>
            </w:r>
            <w:r>
              <w:rPr>
                <w:rFonts w:hint="default" w:ascii="Times New Roman" w:hAnsi="Times New Roman" w:cs="Times New Roman"/>
                <w:color w:val="auto"/>
                <w:szCs w:val="21"/>
                <w:highlight w:val="none"/>
              </w:rPr>
              <w:t>分</w:t>
            </w:r>
          </w:p>
        </w:tc>
        <w:tc>
          <w:tcPr>
            <w:tcW w:w="3235" w:type="dxa"/>
            <w:noWrap w:val="0"/>
            <w:vAlign w:val="center"/>
          </w:tcPr>
          <w:p w14:paraId="733DAB26">
            <w:pPr>
              <w:pageBreakBefore w:val="0"/>
              <w:kinsoku/>
              <w:wordWrap w:val="0"/>
              <w:bidi w:val="0"/>
              <w:spacing w:line="380" w:lineRule="atLeast"/>
              <w:rPr>
                <w:rFonts w:hint="eastAsia" w:ascii="宋体" w:hAnsi="宋体" w:cs="宋体"/>
                <w:color w:val="auto"/>
                <w:highlight w:val="none"/>
              </w:rPr>
            </w:pPr>
            <w:r>
              <w:rPr>
                <w:rFonts w:hint="eastAsia" w:ascii="宋体" w:hAnsi="宋体"/>
                <w:color w:val="auto"/>
                <w:szCs w:val="21"/>
                <w:highlight w:val="none"/>
              </w:rPr>
              <w:t>施工现场标准化、安全生产标准化保证体系和措施，</w:t>
            </w:r>
            <w:r>
              <w:rPr>
                <w:rFonts w:hint="eastAsia" w:ascii="宋体" w:hAnsi="宋体" w:cs="宋体"/>
                <w:color w:val="auto"/>
                <w:highlight w:val="none"/>
              </w:rPr>
              <w:t>横向对比、酌情打分，得分</w:t>
            </w:r>
            <w:r>
              <w:rPr>
                <w:rFonts w:ascii="宋体" w:hAnsi="宋体"/>
                <w:color w:val="auto"/>
                <w:szCs w:val="21"/>
                <w:highlight w:val="none"/>
              </w:rPr>
              <w:t>2</w:t>
            </w:r>
            <w:r>
              <w:rPr>
                <w:rFonts w:hint="eastAsia"/>
                <w:color w:val="auto"/>
                <w:szCs w:val="21"/>
                <w:highlight w:val="none"/>
                <w:lang w:val="en-US" w:eastAsia="zh-CN"/>
              </w:rPr>
              <w:t>.4</w:t>
            </w:r>
            <w:r>
              <w:rPr>
                <w:rFonts w:ascii="宋体" w:hAnsi="宋体"/>
                <w:color w:val="auto"/>
                <w:szCs w:val="21"/>
                <w:highlight w:val="none"/>
              </w:rPr>
              <w:t>-</w:t>
            </w:r>
            <w:r>
              <w:rPr>
                <w:rFonts w:hint="eastAsia" w:ascii="宋体" w:hAnsi="宋体"/>
                <w:color w:val="auto"/>
                <w:szCs w:val="21"/>
                <w:highlight w:val="none"/>
              </w:rPr>
              <w:t>4分。</w:t>
            </w:r>
          </w:p>
        </w:tc>
      </w:tr>
      <w:tr w14:paraId="74C52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vMerge w:val="continue"/>
            <w:noWrap w:val="0"/>
            <w:vAlign w:val="center"/>
          </w:tcPr>
          <w:p w14:paraId="47724139">
            <w:pPr>
              <w:pageBreakBefore w:val="0"/>
              <w:kinsoku/>
              <w:wordWrap w:val="0"/>
              <w:bidi w:val="0"/>
              <w:spacing w:line="380" w:lineRule="atLeast"/>
              <w:jc w:val="center"/>
              <w:rPr>
                <w:rFonts w:hint="default" w:ascii="Times New Roman" w:hAnsi="Times New Roman" w:cs="Times New Roman"/>
                <w:color w:val="auto"/>
                <w:szCs w:val="21"/>
                <w:highlight w:val="none"/>
              </w:rPr>
            </w:pPr>
          </w:p>
        </w:tc>
        <w:tc>
          <w:tcPr>
            <w:tcW w:w="1371" w:type="dxa"/>
            <w:gridSpan w:val="2"/>
            <w:vMerge w:val="continue"/>
            <w:noWrap w:val="0"/>
            <w:vAlign w:val="center"/>
          </w:tcPr>
          <w:p w14:paraId="5C189245">
            <w:pPr>
              <w:pageBreakBefore w:val="0"/>
              <w:kinsoku/>
              <w:wordWrap w:val="0"/>
              <w:bidi w:val="0"/>
              <w:spacing w:line="380" w:lineRule="atLeast"/>
              <w:jc w:val="center"/>
              <w:rPr>
                <w:rFonts w:hint="default" w:ascii="Times New Roman" w:hAnsi="Times New Roman" w:cs="Times New Roman"/>
                <w:color w:val="auto"/>
                <w:szCs w:val="21"/>
                <w:highlight w:val="none"/>
              </w:rPr>
            </w:pPr>
          </w:p>
        </w:tc>
        <w:tc>
          <w:tcPr>
            <w:tcW w:w="992" w:type="dxa"/>
            <w:vMerge w:val="continue"/>
            <w:noWrap w:val="0"/>
            <w:vAlign w:val="center"/>
          </w:tcPr>
          <w:p w14:paraId="55368774">
            <w:pPr>
              <w:pageBreakBefore w:val="0"/>
              <w:kinsoku/>
              <w:wordWrap w:val="0"/>
              <w:bidi w:val="0"/>
              <w:spacing w:line="380" w:lineRule="atLeast"/>
              <w:jc w:val="right"/>
              <w:rPr>
                <w:rFonts w:hint="default" w:ascii="Times New Roman" w:hAnsi="Times New Roman" w:eastAsia="隶书" w:cs="Times New Roman"/>
                <w:b/>
                <w:color w:val="auto"/>
                <w:szCs w:val="21"/>
                <w:highlight w:val="none"/>
              </w:rPr>
            </w:pPr>
          </w:p>
        </w:tc>
        <w:tc>
          <w:tcPr>
            <w:tcW w:w="1116" w:type="dxa"/>
            <w:noWrap w:val="0"/>
            <w:vAlign w:val="top"/>
          </w:tcPr>
          <w:p w14:paraId="72F55299">
            <w:pPr>
              <w:pageBreakBefore w:val="0"/>
              <w:kinsoku/>
              <w:wordWrap w:val="0"/>
              <w:bidi w:val="0"/>
              <w:spacing w:line="380" w:lineRule="atLeast"/>
              <w:rPr>
                <w:rFonts w:hint="default" w:ascii="Times New Roman" w:hAnsi="Times New Roman" w:cs="Times New Roman"/>
                <w:color w:val="auto"/>
                <w:szCs w:val="21"/>
                <w:highlight w:val="none"/>
              </w:rPr>
            </w:pPr>
            <w:r>
              <w:rPr>
                <w:rFonts w:hint="eastAsia" w:ascii="宋体" w:hAnsi="宋体" w:cs="宋体"/>
                <w:color w:val="auto"/>
                <w:szCs w:val="21"/>
                <w:highlight w:val="none"/>
              </w:rPr>
              <w:t>文明施工</w:t>
            </w:r>
            <w:r>
              <w:rPr>
                <w:rFonts w:hint="eastAsia" w:ascii="宋体" w:hAnsi="宋体"/>
                <w:color w:val="auto"/>
                <w:szCs w:val="21"/>
                <w:highlight w:val="none"/>
              </w:rPr>
              <w:t>环境保护、水土保持、施工后期场地恢复、支付保障体系和措施</w:t>
            </w:r>
            <w:r>
              <w:rPr>
                <w:rFonts w:hint="eastAsia" w:ascii="宋体" w:hAnsi="宋体" w:cs="宋体"/>
                <w:color w:val="auto"/>
                <w:szCs w:val="21"/>
                <w:highlight w:val="none"/>
              </w:rPr>
              <w:t>方案和措施</w:t>
            </w:r>
          </w:p>
        </w:tc>
        <w:tc>
          <w:tcPr>
            <w:tcW w:w="765" w:type="dxa"/>
            <w:noWrap w:val="0"/>
            <w:vAlign w:val="center"/>
          </w:tcPr>
          <w:p w14:paraId="3827456A">
            <w:pPr>
              <w:pageBreakBefore w:val="0"/>
              <w:kinsoku/>
              <w:wordWrap w:val="0"/>
              <w:bidi w:val="0"/>
              <w:spacing w:line="380" w:lineRule="atLeast"/>
              <w:jc w:val="right"/>
              <w:rPr>
                <w:rFonts w:hint="default" w:ascii="Times New Roman" w:hAnsi="Times New Roman" w:cs="Times New Roman"/>
                <w:color w:val="auto"/>
                <w:szCs w:val="21"/>
                <w:highlight w:val="none"/>
              </w:rPr>
            </w:pPr>
            <w:r>
              <w:rPr>
                <w:rFonts w:hint="eastAsia" w:cs="Times New Roman"/>
                <w:color w:val="auto"/>
                <w:szCs w:val="21"/>
                <w:highlight w:val="none"/>
                <w:u w:val="single"/>
                <w:lang w:val="en-US" w:eastAsia="zh-CN"/>
              </w:rPr>
              <w:t>5</w:t>
            </w:r>
            <w:r>
              <w:rPr>
                <w:rFonts w:hint="default" w:ascii="Times New Roman" w:hAnsi="Times New Roman" w:cs="Times New Roman"/>
                <w:color w:val="auto"/>
                <w:szCs w:val="21"/>
                <w:highlight w:val="none"/>
              </w:rPr>
              <w:t>分</w:t>
            </w:r>
          </w:p>
        </w:tc>
        <w:tc>
          <w:tcPr>
            <w:tcW w:w="3235" w:type="dxa"/>
            <w:noWrap w:val="0"/>
            <w:vAlign w:val="center"/>
          </w:tcPr>
          <w:p w14:paraId="43AC585E">
            <w:pPr>
              <w:pageBreakBefore w:val="0"/>
              <w:kinsoku/>
              <w:wordWrap w:val="0"/>
              <w:bidi w:val="0"/>
              <w:spacing w:line="380" w:lineRule="atLeast"/>
              <w:rPr>
                <w:rFonts w:hint="default" w:ascii="Times New Roman" w:hAnsi="Times New Roman" w:cs="Times New Roman"/>
                <w:color w:val="auto"/>
                <w:szCs w:val="21"/>
                <w:highlight w:val="none"/>
              </w:rPr>
            </w:pPr>
            <w:r>
              <w:rPr>
                <w:rFonts w:hint="eastAsia" w:ascii="宋体" w:hAnsi="宋体" w:cs="宋体"/>
                <w:color w:val="auto"/>
                <w:szCs w:val="21"/>
                <w:highlight w:val="none"/>
              </w:rPr>
              <w:t>针对本项目的文明施工</w:t>
            </w:r>
            <w:r>
              <w:rPr>
                <w:rFonts w:hint="eastAsia" w:ascii="宋体" w:hAnsi="宋体"/>
                <w:color w:val="auto"/>
                <w:szCs w:val="21"/>
                <w:highlight w:val="none"/>
              </w:rPr>
              <w:t>环境保护、水土保持、施工后期场地恢复、支付保障体系和措施</w:t>
            </w:r>
            <w:r>
              <w:rPr>
                <w:rFonts w:hint="eastAsia" w:ascii="宋体" w:hAnsi="宋体" w:cs="宋体"/>
                <w:color w:val="auto"/>
                <w:szCs w:val="21"/>
                <w:highlight w:val="none"/>
              </w:rPr>
              <w:t>，表述基本齐全，内容全面并且合理可行，横向对比、酌情打分，得分3-5分。</w:t>
            </w:r>
          </w:p>
        </w:tc>
      </w:tr>
      <w:tr w14:paraId="5C227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vMerge w:val="restart"/>
            <w:noWrap w:val="0"/>
            <w:vAlign w:val="center"/>
          </w:tcPr>
          <w:p w14:paraId="0A9D713E">
            <w:pPr>
              <w:pageBreakBefore w:val="0"/>
              <w:kinsoku/>
              <w:wordWrap w:val="0"/>
              <w:bidi w:val="0"/>
              <w:spacing w:line="360" w:lineRule="atLeast"/>
              <w:ind w:left="-92" w:leftChars="-44" w:right="-88" w:rightChars="-42"/>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2.2.2（2）</w:t>
            </w:r>
          </w:p>
        </w:tc>
        <w:tc>
          <w:tcPr>
            <w:tcW w:w="1371" w:type="dxa"/>
            <w:gridSpan w:val="2"/>
            <w:vMerge w:val="restart"/>
            <w:noWrap w:val="0"/>
            <w:vAlign w:val="center"/>
          </w:tcPr>
          <w:p w14:paraId="68C20F90">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主要人员</w:t>
            </w:r>
          </w:p>
        </w:tc>
        <w:tc>
          <w:tcPr>
            <w:tcW w:w="992" w:type="dxa"/>
            <w:vMerge w:val="restart"/>
            <w:noWrap w:val="0"/>
            <w:vAlign w:val="center"/>
          </w:tcPr>
          <w:p w14:paraId="41681C3F">
            <w:pPr>
              <w:pageBreakBefore w:val="0"/>
              <w:kinsoku/>
              <w:wordWrap w:val="0"/>
              <w:bidi w:val="0"/>
              <w:spacing w:line="380" w:lineRule="atLeast"/>
              <w:jc w:val="righ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eastAsia" w:cs="Times New Roman"/>
                <w:color w:val="auto"/>
                <w:szCs w:val="21"/>
                <w:highlight w:val="none"/>
                <w:u w:val="single"/>
                <w:lang w:val="en-US" w:eastAsia="zh-CN"/>
              </w:rPr>
              <w:t>25</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1116" w:type="dxa"/>
            <w:noWrap w:val="0"/>
            <w:vAlign w:val="center"/>
          </w:tcPr>
          <w:p w14:paraId="3A786015">
            <w:pPr>
              <w:pageBreakBefore w:val="0"/>
              <w:kinsoku/>
              <w:wordWrap w:val="0"/>
              <w:bidi w:val="0"/>
              <w:spacing w:line="38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项目经理</w:t>
            </w:r>
          </w:p>
        </w:tc>
        <w:tc>
          <w:tcPr>
            <w:tcW w:w="765" w:type="dxa"/>
            <w:noWrap w:val="0"/>
            <w:vAlign w:val="center"/>
          </w:tcPr>
          <w:p w14:paraId="3C34029B">
            <w:pPr>
              <w:pageBreakBefore w:val="0"/>
              <w:kinsoku/>
              <w:wordWrap w:val="0"/>
              <w:bidi w:val="0"/>
              <w:spacing w:line="380" w:lineRule="atLeast"/>
              <w:jc w:val="right"/>
              <w:rPr>
                <w:rFonts w:hint="default" w:ascii="Times New Roman" w:hAnsi="Times New Roman" w:cs="Times New Roman"/>
                <w:color w:val="auto"/>
                <w:szCs w:val="21"/>
                <w:highlight w:val="none"/>
              </w:rPr>
            </w:pPr>
            <w:r>
              <w:rPr>
                <w:rFonts w:hint="eastAsia" w:cs="Times New Roman"/>
                <w:color w:val="auto"/>
                <w:szCs w:val="21"/>
                <w:highlight w:val="none"/>
                <w:u w:val="single"/>
                <w:lang w:val="en-US" w:eastAsia="zh-CN"/>
              </w:rPr>
              <w:t>13</w:t>
            </w:r>
            <w:r>
              <w:rPr>
                <w:rFonts w:hint="default" w:ascii="Times New Roman" w:hAnsi="Times New Roman" w:cs="Times New Roman"/>
                <w:color w:val="auto"/>
                <w:szCs w:val="21"/>
                <w:highlight w:val="none"/>
              </w:rPr>
              <w:t>分</w:t>
            </w:r>
          </w:p>
        </w:tc>
        <w:tc>
          <w:tcPr>
            <w:tcW w:w="3235" w:type="dxa"/>
            <w:noWrap w:val="0"/>
            <w:vAlign w:val="center"/>
          </w:tcPr>
          <w:p w14:paraId="72084114">
            <w:pPr>
              <w:pageBreakBefore w:val="0"/>
              <w:kinsoku/>
              <w:wordWrap w:val="0"/>
              <w:bidi w:val="0"/>
              <w:spacing w:line="380" w:lineRule="atLeast"/>
              <w:rPr>
                <w:rFonts w:hint="default" w:ascii="Times New Roman" w:hAnsi="Times New Roman" w:cs="Times New Roman"/>
                <w:color w:val="auto"/>
                <w:szCs w:val="21"/>
                <w:highlight w:val="none"/>
              </w:rPr>
            </w:pPr>
            <w:r>
              <w:rPr>
                <w:rFonts w:hint="eastAsia" w:ascii="宋体" w:hAnsi="宋体" w:cs="宋体"/>
                <w:color w:val="auto"/>
                <w:highlight w:val="none"/>
              </w:rPr>
              <w:t>满足资格审查条件要求的，得</w:t>
            </w:r>
            <w:r>
              <w:rPr>
                <w:rFonts w:hint="eastAsia" w:ascii="宋体" w:hAnsi="宋体" w:cs="宋体"/>
                <w:color w:val="auto"/>
                <w:highlight w:val="none"/>
                <w:lang w:val="en-US" w:eastAsia="zh-CN"/>
              </w:rPr>
              <w:t>13</w:t>
            </w:r>
            <w:r>
              <w:rPr>
                <w:rFonts w:hint="eastAsia" w:ascii="宋体" w:hAnsi="宋体" w:cs="宋体"/>
                <w:color w:val="auto"/>
                <w:highlight w:val="none"/>
              </w:rPr>
              <w:t>分。</w:t>
            </w:r>
          </w:p>
        </w:tc>
      </w:tr>
      <w:tr w14:paraId="2D735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1412" w:type="dxa"/>
            <w:vMerge w:val="continue"/>
            <w:noWrap w:val="0"/>
            <w:vAlign w:val="center"/>
          </w:tcPr>
          <w:p w14:paraId="71D1F189">
            <w:pPr>
              <w:pageBreakBefore w:val="0"/>
              <w:kinsoku/>
              <w:wordWrap w:val="0"/>
              <w:bidi w:val="0"/>
              <w:spacing w:line="380" w:lineRule="atLeast"/>
              <w:jc w:val="center"/>
              <w:rPr>
                <w:rFonts w:hint="default" w:ascii="Times New Roman" w:hAnsi="Times New Roman" w:cs="Times New Roman"/>
                <w:color w:val="auto"/>
                <w:szCs w:val="21"/>
                <w:highlight w:val="none"/>
              </w:rPr>
            </w:pPr>
          </w:p>
        </w:tc>
        <w:tc>
          <w:tcPr>
            <w:tcW w:w="1371" w:type="dxa"/>
            <w:gridSpan w:val="2"/>
            <w:vMerge w:val="continue"/>
            <w:noWrap w:val="0"/>
            <w:vAlign w:val="center"/>
          </w:tcPr>
          <w:p w14:paraId="73374435">
            <w:pPr>
              <w:pageBreakBefore w:val="0"/>
              <w:kinsoku/>
              <w:wordWrap w:val="0"/>
              <w:bidi w:val="0"/>
              <w:spacing w:line="380" w:lineRule="atLeast"/>
              <w:jc w:val="center"/>
              <w:rPr>
                <w:rFonts w:hint="default" w:ascii="Times New Roman" w:hAnsi="Times New Roman" w:cs="Times New Roman"/>
                <w:color w:val="auto"/>
                <w:szCs w:val="21"/>
                <w:highlight w:val="none"/>
              </w:rPr>
            </w:pPr>
          </w:p>
        </w:tc>
        <w:tc>
          <w:tcPr>
            <w:tcW w:w="992" w:type="dxa"/>
            <w:vMerge w:val="continue"/>
            <w:noWrap w:val="0"/>
            <w:vAlign w:val="center"/>
          </w:tcPr>
          <w:p w14:paraId="10A42C19">
            <w:pPr>
              <w:pageBreakBefore w:val="0"/>
              <w:kinsoku/>
              <w:wordWrap w:val="0"/>
              <w:bidi w:val="0"/>
              <w:spacing w:line="380" w:lineRule="atLeast"/>
              <w:jc w:val="right"/>
              <w:rPr>
                <w:rFonts w:hint="default" w:ascii="Times New Roman" w:hAnsi="Times New Roman" w:eastAsia="隶书" w:cs="Times New Roman"/>
                <w:b/>
                <w:color w:val="auto"/>
                <w:szCs w:val="21"/>
                <w:highlight w:val="none"/>
              </w:rPr>
            </w:pPr>
          </w:p>
        </w:tc>
        <w:tc>
          <w:tcPr>
            <w:tcW w:w="1116" w:type="dxa"/>
            <w:noWrap w:val="0"/>
            <w:vAlign w:val="center"/>
          </w:tcPr>
          <w:p w14:paraId="581B4DA1">
            <w:pPr>
              <w:pageBreakBefore w:val="0"/>
              <w:kinsoku/>
              <w:wordWrap w:val="0"/>
              <w:bidi w:val="0"/>
              <w:spacing w:line="38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项目总工</w:t>
            </w:r>
          </w:p>
        </w:tc>
        <w:tc>
          <w:tcPr>
            <w:tcW w:w="765" w:type="dxa"/>
            <w:noWrap w:val="0"/>
            <w:vAlign w:val="center"/>
          </w:tcPr>
          <w:p w14:paraId="4A6E27F8">
            <w:pPr>
              <w:pageBreakBefore w:val="0"/>
              <w:kinsoku/>
              <w:wordWrap w:val="0"/>
              <w:bidi w:val="0"/>
              <w:spacing w:line="380" w:lineRule="atLeast"/>
              <w:jc w:val="right"/>
              <w:rPr>
                <w:rFonts w:hint="default" w:ascii="Times New Roman" w:hAnsi="Times New Roman" w:cs="Times New Roman"/>
                <w:color w:val="auto"/>
                <w:szCs w:val="21"/>
                <w:highlight w:val="none"/>
              </w:rPr>
            </w:pPr>
            <w:r>
              <w:rPr>
                <w:rFonts w:hint="eastAsia" w:cs="Times New Roman"/>
                <w:color w:val="auto"/>
                <w:szCs w:val="21"/>
                <w:highlight w:val="none"/>
                <w:u w:val="single"/>
                <w:lang w:val="en-US" w:eastAsia="zh-CN"/>
              </w:rPr>
              <w:t>12</w:t>
            </w:r>
            <w:r>
              <w:rPr>
                <w:rFonts w:hint="default" w:ascii="Times New Roman" w:hAnsi="Times New Roman" w:cs="Times New Roman"/>
                <w:color w:val="auto"/>
                <w:szCs w:val="21"/>
                <w:highlight w:val="none"/>
              </w:rPr>
              <w:t>分</w:t>
            </w:r>
          </w:p>
        </w:tc>
        <w:tc>
          <w:tcPr>
            <w:tcW w:w="3235" w:type="dxa"/>
            <w:noWrap w:val="0"/>
            <w:vAlign w:val="center"/>
          </w:tcPr>
          <w:p w14:paraId="2BAF3209">
            <w:pPr>
              <w:pageBreakBefore w:val="0"/>
              <w:kinsoku/>
              <w:wordWrap w:val="0"/>
              <w:bidi w:val="0"/>
              <w:spacing w:line="380" w:lineRule="atLeast"/>
              <w:rPr>
                <w:rFonts w:hint="default" w:ascii="Times New Roman" w:hAnsi="Times New Roman" w:cs="Times New Roman"/>
                <w:color w:val="auto"/>
                <w:szCs w:val="21"/>
                <w:highlight w:val="none"/>
              </w:rPr>
            </w:pPr>
            <w:r>
              <w:rPr>
                <w:rFonts w:hint="eastAsia" w:ascii="宋体" w:hAnsi="宋体" w:cs="宋体"/>
                <w:color w:val="auto"/>
                <w:highlight w:val="none"/>
              </w:rPr>
              <w:t>满足资格审查条件要求的，得</w:t>
            </w:r>
            <w:r>
              <w:rPr>
                <w:rFonts w:hint="eastAsia" w:ascii="宋体" w:hAnsi="宋体" w:cs="宋体"/>
                <w:color w:val="auto"/>
                <w:highlight w:val="none"/>
                <w:lang w:val="en-US" w:eastAsia="zh-CN"/>
              </w:rPr>
              <w:t>12</w:t>
            </w:r>
            <w:r>
              <w:rPr>
                <w:rFonts w:hint="eastAsia" w:ascii="宋体" w:hAnsi="宋体" w:cs="宋体"/>
                <w:color w:val="auto"/>
                <w:highlight w:val="none"/>
              </w:rPr>
              <w:t>分。</w:t>
            </w:r>
          </w:p>
        </w:tc>
      </w:tr>
      <w:tr w14:paraId="783B4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vMerge w:val="restart"/>
            <w:noWrap w:val="0"/>
            <w:vAlign w:val="center"/>
          </w:tcPr>
          <w:p w14:paraId="5029BBFA">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2.2.2（3）</w:t>
            </w:r>
          </w:p>
        </w:tc>
        <w:tc>
          <w:tcPr>
            <w:tcW w:w="453" w:type="dxa"/>
            <w:vMerge w:val="restart"/>
            <w:noWrap w:val="0"/>
            <w:vAlign w:val="center"/>
          </w:tcPr>
          <w:p w14:paraId="0F859446">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其他因素</w:t>
            </w:r>
          </w:p>
        </w:tc>
        <w:tc>
          <w:tcPr>
            <w:tcW w:w="918" w:type="dxa"/>
            <w:noWrap w:val="0"/>
            <w:vAlign w:val="center"/>
          </w:tcPr>
          <w:p w14:paraId="7F841341">
            <w:pPr>
              <w:pageBreakBefore w:val="0"/>
              <w:kinsoku/>
              <w:wordWrap w:val="0"/>
              <w:bidi w:val="0"/>
              <w:spacing w:line="380" w:lineRule="atLeast"/>
              <w:ind w:left="-105" w:leftChars="-50" w:right="-105" w:rightChars="-50"/>
              <w:jc w:val="center"/>
              <w:rPr>
                <w:rFonts w:hint="default" w:ascii="Times New Roman" w:hAnsi="Times New Roman" w:cs="Times New Roman"/>
                <w:color w:val="auto"/>
                <w:szCs w:val="21"/>
                <w:highlight w:val="none"/>
              </w:rPr>
            </w:pPr>
            <w:r>
              <w:rPr>
                <w:rFonts w:hint="eastAsia" w:ascii="Times New Roman" w:hAnsi="Times New Roman" w:cs="Times New Roman"/>
                <w:color w:val="auto"/>
                <w:szCs w:val="21"/>
                <w:highlight w:val="none"/>
                <w:lang w:eastAsia="zh-CN"/>
              </w:rPr>
              <w:t>企业业绩</w:t>
            </w:r>
          </w:p>
        </w:tc>
        <w:tc>
          <w:tcPr>
            <w:tcW w:w="992" w:type="dxa"/>
            <w:noWrap w:val="0"/>
            <w:vAlign w:val="center"/>
          </w:tcPr>
          <w:p w14:paraId="5F7E56B5">
            <w:pPr>
              <w:pageBreakBefore w:val="0"/>
              <w:kinsoku/>
              <w:wordWrap w:val="0"/>
              <w:bidi w:val="0"/>
              <w:spacing w:line="380" w:lineRule="atLeast"/>
              <w:jc w:val="righ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eastAsia" w:cs="Times New Roman"/>
                <w:color w:val="auto"/>
                <w:szCs w:val="21"/>
                <w:highlight w:val="none"/>
                <w:u w:val="single"/>
                <w:lang w:val="en-US" w:eastAsia="zh-CN"/>
              </w:rPr>
              <w:t>15</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1116" w:type="dxa"/>
            <w:noWrap w:val="0"/>
            <w:vAlign w:val="center"/>
          </w:tcPr>
          <w:p w14:paraId="48A2DA1B">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eastAsia" w:ascii="Times New Roman" w:hAnsi="Times New Roman" w:cs="Times New Roman"/>
                <w:color w:val="auto"/>
                <w:szCs w:val="21"/>
                <w:highlight w:val="none"/>
                <w:lang w:eastAsia="zh-CN"/>
              </w:rPr>
              <w:t>企业业绩</w:t>
            </w:r>
          </w:p>
        </w:tc>
        <w:tc>
          <w:tcPr>
            <w:tcW w:w="765" w:type="dxa"/>
            <w:noWrap w:val="0"/>
            <w:vAlign w:val="center"/>
          </w:tcPr>
          <w:p w14:paraId="147BD9B4">
            <w:pPr>
              <w:pageBreakBefore w:val="0"/>
              <w:kinsoku/>
              <w:wordWrap w:val="0"/>
              <w:bidi w:val="0"/>
              <w:spacing w:line="380" w:lineRule="atLeast"/>
              <w:jc w:val="right"/>
              <w:rPr>
                <w:rFonts w:hint="default" w:ascii="Times New Roman" w:hAnsi="Times New Roman" w:cs="Times New Roman"/>
                <w:color w:val="auto"/>
                <w:szCs w:val="21"/>
                <w:highlight w:val="none"/>
              </w:rPr>
            </w:pPr>
            <w:r>
              <w:rPr>
                <w:rFonts w:hint="eastAsia" w:cs="Times New Roman"/>
                <w:color w:val="auto"/>
                <w:szCs w:val="21"/>
                <w:highlight w:val="none"/>
                <w:u w:val="single"/>
                <w:lang w:val="en-US" w:eastAsia="zh-CN"/>
              </w:rPr>
              <w:t>15</w:t>
            </w:r>
            <w:r>
              <w:rPr>
                <w:rFonts w:hint="default" w:ascii="Times New Roman" w:hAnsi="Times New Roman" w:cs="Times New Roman"/>
                <w:color w:val="auto"/>
                <w:szCs w:val="21"/>
                <w:highlight w:val="none"/>
              </w:rPr>
              <w:t>分</w:t>
            </w:r>
          </w:p>
        </w:tc>
        <w:tc>
          <w:tcPr>
            <w:tcW w:w="3235" w:type="dxa"/>
            <w:noWrap w:val="0"/>
            <w:vAlign w:val="top"/>
          </w:tcPr>
          <w:p w14:paraId="2AD097EC">
            <w:pPr>
              <w:pageBreakBefore w:val="0"/>
              <w:kinsoku/>
              <w:wordWrap w:val="0"/>
              <w:bidi w:val="0"/>
              <w:spacing w:line="380" w:lineRule="atLeast"/>
              <w:jc w:val="left"/>
              <w:rPr>
                <w:rFonts w:hint="default" w:ascii="Times New Roman" w:hAnsi="Times New Roman" w:cs="Times New Roman"/>
                <w:color w:val="auto"/>
                <w:szCs w:val="21"/>
                <w:highlight w:val="yellow"/>
              </w:rPr>
            </w:pPr>
            <w:r>
              <w:rPr>
                <w:rFonts w:hint="eastAsia" w:ascii="宋体" w:hAnsi="宋体" w:cs="宋体"/>
                <w:color w:val="auto"/>
                <w:highlight w:val="none"/>
              </w:rPr>
              <w:t>近五年（202</w:t>
            </w:r>
            <w:r>
              <w:rPr>
                <w:rFonts w:hint="eastAsia" w:ascii="宋体" w:hAnsi="宋体" w:cs="宋体"/>
                <w:color w:val="auto"/>
                <w:highlight w:val="none"/>
                <w:lang w:val="en-US" w:eastAsia="zh-CN"/>
              </w:rPr>
              <w:t>1</w:t>
            </w:r>
            <w:r>
              <w:rPr>
                <w:rFonts w:hint="eastAsia" w:ascii="宋体" w:hAnsi="宋体" w:cs="宋体"/>
                <w:color w:val="auto"/>
                <w:highlight w:val="none"/>
              </w:rPr>
              <w:t>年</w:t>
            </w:r>
            <w:r>
              <w:rPr>
                <w:rFonts w:hint="eastAsia" w:ascii="宋体" w:hAnsi="宋体" w:cs="宋体"/>
                <w:color w:val="auto"/>
                <w:highlight w:val="none"/>
                <w:lang w:val="en-US" w:eastAsia="zh-CN"/>
              </w:rPr>
              <w:t>1</w:t>
            </w:r>
            <w:r>
              <w:rPr>
                <w:rFonts w:hint="eastAsia" w:ascii="宋体" w:hAnsi="宋体" w:cs="宋体"/>
                <w:color w:val="auto"/>
                <w:highlight w:val="none"/>
              </w:rPr>
              <w:t>月1日至投标截止日内，以竣工时间为准）每担任过1项</w:t>
            </w:r>
            <w:r>
              <w:rPr>
                <w:spacing w:val="2"/>
                <w:highlight w:val="none"/>
              </w:rPr>
              <w:t>公路工程</w:t>
            </w:r>
            <w:r>
              <w:rPr>
                <w:rFonts w:hint="eastAsia" w:ascii="宋体" w:hAnsi="宋体" w:eastAsia="宋体" w:cs="宋体"/>
                <w:color w:val="auto"/>
                <w:highlight w:val="none"/>
              </w:rPr>
              <w:t>新建或改建或维修改造</w:t>
            </w:r>
            <w:r>
              <w:rPr>
                <w:rFonts w:hint="eastAsia" w:ascii="宋体" w:hAnsi="宋体" w:eastAsia="宋体" w:cs="宋体"/>
                <w:color w:val="auto"/>
                <w:highlight w:val="none"/>
                <w:lang w:val="en-US" w:eastAsia="zh-CN"/>
              </w:rPr>
              <w:t>施工</w:t>
            </w:r>
            <w:r>
              <w:rPr>
                <w:rFonts w:hint="eastAsia" w:ascii="宋体" w:hAnsi="宋体" w:eastAsia="宋体" w:cs="宋体"/>
                <w:color w:val="auto"/>
                <w:highlight w:val="none"/>
              </w:rPr>
              <w:t>项目</w:t>
            </w:r>
            <w:r>
              <w:rPr>
                <w:rFonts w:hint="eastAsia" w:ascii="宋体" w:hAnsi="宋体" w:cs="宋体"/>
                <w:color w:val="auto"/>
                <w:highlight w:val="none"/>
                <w:lang w:eastAsia="zh-CN"/>
              </w:rPr>
              <w:t>（</w:t>
            </w:r>
            <w:r>
              <w:rPr>
                <w:rFonts w:hint="eastAsia" w:ascii="宋体" w:hAnsi="宋体" w:cs="宋体"/>
                <w:color w:val="auto"/>
                <w:highlight w:val="none"/>
                <w:lang w:val="en-US" w:eastAsia="zh-CN"/>
              </w:rPr>
              <w:t>路面工程）</w:t>
            </w:r>
            <w:r>
              <w:rPr>
                <w:rFonts w:hint="eastAsia" w:ascii="宋体" w:hAnsi="宋体" w:eastAsia="宋体" w:cs="宋体"/>
                <w:color w:val="auto"/>
                <w:highlight w:val="none"/>
              </w:rPr>
              <w:t>的企业业绩</w:t>
            </w:r>
            <w:r>
              <w:rPr>
                <w:rFonts w:hint="eastAsia" w:ascii="宋体" w:hAnsi="宋体" w:cs="宋体"/>
                <w:color w:val="auto"/>
                <w:highlight w:val="none"/>
              </w:rPr>
              <w:t>，每有1个得3分，最多得15分。</w:t>
            </w:r>
          </w:p>
        </w:tc>
      </w:tr>
      <w:tr w14:paraId="3AFE4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vMerge w:val="continue"/>
            <w:noWrap w:val="0"/>
            <w:vAlign w:val="center"/>
          </w:tcPr>
          <w:p w14:paraId="67EEBAC8">
            <w:pPr>
              <w:pageBreakBefore w:val="0"/>
              <w:kinsoku/>
              <w:wordWrap w:val="0"/>
              <w:bidi w:val="0"/>
              <w:spacing w:line="380" w:lineRule="atLeast"/>
              <w:jc w:val="center"/>
              <w:rPr>
                <w:rFonts w:hint="default" w:ascii="Times New Roman" w:hAnsi="Times New Roman" w:eastAsia="隶书" w:cs="Times New Roman"/>
                <w:color w:val="auto"/>
                <w:szCs w:val="21"/>
                <w:highlight w:val="none"/>
              </w:rPr>
            </w:pPr>
          </w:p>
        </w:tc>
        <w:tc>
          <w:tcPr>
            <w:tcW w:w="453" w:type="dxa"/>
            <w:vMerge w:val="continue"/>
            <w:noWrap w:val="0"/>
            <w:vAlign w:val="center"/>
          </w:tcPr>
          <w:p w14:paraId="2324DD9F">
            <w:pPr>
              <w:pageBreakBefore w:val="0"/>
              <w:kinsoku/>
              <w:wordWrap w:val="0"/>
              <w:bidi w:val="0"/>
              <w:spacing w:line="380" w:lineRule="atLeast"/>
              <w:ind w:left="-105" w:leftChars="-50" w:right="-105" w:rightChars="-50"/>
              <w:jc w:val="center"/>
              <w:rPr>
                <w:rFonts w:hint="default" w:ascii="Times New Roman" w:hAnsi="Times New Roman" w:eastAsia="隶书" w:cs="Times New Roman"/>
                <w:color w:val="auto"/>
                <w:szCs w:val="21"/>
                <w:highlight w:val="none"/>
              </w:rPr>
            </w:pPr>
          </w:p>
        </w:tc>
        <w:tc>
          <w:tcPr>
            <w:tcW w:w="918" w:type="dxa"/>
            <w:noWrap w:val="0"/>
            <w:vAlign w:val="center"/>
          </w:tcPr>
          <w:p w14:paraId="47E40FFE">
            <w:pPr>
              <w:pageBreakBefore w:val="0"/>
              <w:kinsoku/>
              <w:wordWrap w:val="0"/>
              <w:bidi w:val="0"/>
              <w:spacing w:line="380" w:lineRule="atLeast"/>
              <w:ind w:left="-105" w:leftChars="-50" w:right="-105" w:rightChar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履约信誉</w:t>
            </w:r>
          </w:p>
        </w:tc>
        <w:tc>
          <w:tcPr>
            <w:tcW w:w="992" w:type="dxa"/>
            <w:noWrap w:val="0"/>
            <w:vAlign w:val="center"/>
          </w:tcPr>
          <w:p w14:paraId="0797BF6B">
            <w:pPr>
              <w:pageBreakBefore w:val="0"/>
              <w:kinsoku/>
              <w:wordWrap w:val="0"/>
              <w:bidi w:val="0"/>
              <w:spacing w:line="380" w:lineRule="atLeast"/>
              <w:jc w:val="righ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eastAsia" w:cs="Times New Roman"/>
                <w:color w:val="auto"/>
                <w:szCs w:val="21"/>
                <w:highlight w:val="none"/>
                <w:u w:val="single"/>
                <w:lang w:val="en-US" w:eastAsia="zh-CN"/>
              </w:rPr>
              <w:t>20</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1116" w:type="dxa"/>
            <w:noWrap w:val="0"/>
            <w:vAlign w:val="center"/>
          </w:tcPr>
          <w:p w14:paraId="3E6EA017">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履约信誉</w:t>
            </w:r>
          </w:p>
        </w:tc>
        <w:tc>
          <w:tcPr>
            <w:tcW w:w="765" w:type="dxa"/>
            <w:noWrap w:val="0"/>
            <w:vAlign w:val="center"/>
          </w:tcPr>
          <w:p w14:paraId="770B700C">
            <w:pPr>
              <w:pageBreakBefore w:val="0"/>
              <w:kinsoku/>
              <w:wordWrap w:val="0"/>
              <w:bidi w:val="0"/>
              <w:spacing w:line="380" w:lineRule="atLeast"/>
              <w:rPr>
                <w:rFonts w:hint="default" w:ascii="Times New Roman" w:hAnsi="Times New Roman" w:cs="Times New Roman"/>
                <w:color w:val="auto"/>
                <w:szCs w:val="21"/>
                <w:highlight w:val="none"/>
              </w:rPr>
            </w:pPr>
            <w:r>
              <w:rPr>
                <w:rFonts w:hint="eastAsia" w:cs="Times New Roman"/>
                <w:color w:val="auto"/>
                <w:szCs w:val="21"/>
                <w:highlight w:val="none"/>
                <w:u w:val="single"/>
                <w:lang w:val="en-US" w:eastAsia="zh-CN"/>
              </w:rPr>
              <w:t>20</w:t>
            </w:r>
            <w:r>
              <w:rPr>
                <w:rFonts w:hint="default" w:ascii="Times New Roman" w:hAnsi="Times New Roman" w:cs="Times New Roman"/>
                <w:color w:val="auto"/>
                <w:szCs w:val="21"/>
                <w:highlight w:val="none"/>
              </w:rPr>
              <w:t>分</w:t>
            </w:r>
          </w:p>
        </w:tc>
        <w:tc>
          <w:tcPr>
            <w:tcW w:w="3235" w:type="dxa"/>
            <w:noWrap w:val="0"/>
            <w:vAlign w:val="top"/>
          </w:tcPr>
          <w:p w14:paraId="43CEEC88">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投标人在省级及以上交通运输主管部门发布有效的施工企业信用评价结果，最近年度公路建设养护市场信用评价 AA 级信用等级为 20 分、A 级信用等级为 18 分、B 级信用等级为 15 分，C 级信用等级为10 分，D 级信用等级为 0 分。 </w:t>
            </w:r>
          </w:p>
          <w:p w14:paraId="3482D318">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注：（1）信用评价结果：以投标截止时间前，交通运输主管部门最新发布的结果公告（非结果公示）为准。 </w:t>
            </w:r>
          </w:p>
          <w:p w14:paraId="0A70725D">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2）企业具备有效的辽宁省公路施工企业信用评价等级时，投标按其认定；不具备时，投标信用评价等级按照以下原则认定：①具有全国综合信用评价等级的，按照全国综合信用评价等级认定。②无全国综合信用评价等级的，按照企业注册地省级信用评价等级认定。③无全国综合信用评价等级和注册地省级信用评价等级的，根据“全国公路建设市场信用信息管理系统”查询结果，无不良行为记录的按 A 级认定，有不良行为记录但超过三年（自然年，下同）的按 B 级认定，三年内有不良行为记录的按C 级认定。 </w:t>
            </w:r>
          </w:p>
          <w:p w14:paraId="655DAF48">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（3）如投标人具有多个信用评价结果，应按注解（2）的认定顺序提供排序在前的信用评价结果证明材 </w:t>
            </w:r>
          </w:p>
          <w:p w14:paraId="7FD21BA3">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料，若未按以上优先顺序提供的，评标委员会现场核实后对其信用评价结果不予加分，未提供企业信用评价结果证明材料不加分。 </w:t>
            </w:r>
          </w:p>
          <w:p w14:paraId="61B049E6">
            <w:pPr>
              <w:keepNext w:val="0"/>
              <w:keepLines w:val="0"/>
              <w:widowControl/>
              <w:suppressLineNumbers w:val="0"/>
              <w:jc w:val="left"/>
            </w:pPr>
            <w:r>
              <w:rPr>
                <w:rFonts w:hint="eastAsia" w:ascii="宋体" w:hAnsi="宋体" w:eastAsia="宋体" w:cs="宋体"/>
                <w:color w:val="000000"/>
                <w:kern w:val="0"/>
                <w:sz w:val="20"/>
                <w:szCs w:val="20"/>
                <w:lang w:val="en-US" w:eastAsia="zh-CN" w:bidi="ar"/>
              </w:rPr>
              <w:t>（4）投标人无辽宁省、全国及注册地省级信用评价等级的，应提供“全国公路建设市场监督管理系统”中“全国综合评价”及“企业在各地的信用等级”查询结果截图，以及“奖惩记录一不良行为记录”查询结果截图，无不良行为记录的按 A 级认定，有不良行为记录但超过三年(自然年，下同)的按 B级认定，三年内有不良行为记录的按 C 级认定。</w:t>
            </w:r>
          </w:p>
          <w:p w14:paraId="595BE785">
            <w:pPr>
              <w:pageBreakBefore w:val="0"/>
              <w:kinsoku/>
              <w:wordWrap w:val="0"/>
              <w:bidi w:val="0"/>
              <w:spacing w:line="380" w:lineRule="atLeast"/>
              <w:jc w:val="left"/>
              <w:rPr>
                <w:rFonts w:hint="default" w:ascii="Times New Roman" w:hAnsi="Times New Roman" w:cs="Times New Roman"/>
                <w:color w:val="auto"/>
                <w:szCs w:val="21"/>
                <w:highlight w:val="none"/>
              </w:rPr>
            </w:pPr>
          </w:p>
        </w:tc>
      </w:tr>
      <w:tr w14:paraId="488E0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1" w:type="dxa"/>
            <w:gridSpan w:val="7"/>
            <w:noWrap w:val="0"/>
            <w:vAlign w:val="top"/>
          </w:tcPr>
          <w:p w14:paraId="75BC45FF">
            <w:pPr>
              <w:pageBreakBefore w:val="0"/>
              <w:kinsoku/>
              <w:wordWrap w:val="0"/>
              <w:bidi w:val="0"/>
              <w:spacing w:line="380" w:lineRule="atLeast"/>
              <w:jc w:val="left"/>
              <w:rPr>
                <w:rFonts w:hint="default"/>
                <w:color w:val="0D0D0D"/>
                <w:szCs w:val="21"/>
              </w:rPr>
            </w:pPr>
            <w:r>
              <w:rPr>
                <w:rFonts w:hint="default"/>
                <w:color w:val="0D0D0D"/>
                <w:szCs w:val="21"/>
              </w:rPr>
              <w:t>需要补充的其他内容：</w:t>
            </w:r>
          </w:p>
          <w:p w14:paraId="067FDB02">
            <w:pPr>
              <w:keepNext w:val="0"/>
              <w:keepLines w:val="0"/>
              <w:widowControl/>
              <w:suppressLineNumbers w:val="0"/>
              <w:jc w:val="left"/>
              <w:rPr>
                <w:color w:val="auto"/>
              </w:rPr>
            </w:pPr>
            <w:r>
              <w:rPr>
                <w:rFonts w:ascii="Calibri" w:hAnsi="Calibri" w:eastAsia="宋体" w:cs="Calibri"/>
                <w:color w:val="auto"/>
                <w:kern w:val="0"/>
                <w:sz w:val="20"/>
                <w:szCs w:val="20"/>
                <w:lang w:val="en-US" w:eastAsia="zh-CN" w:bidi="ar"/>
              </w:rPr>
              <w:t>1</w:t>
            </w:r>
            <w:r>
              <w:rPr>
                <w:rFonts w:hint="eastAsia" w:ascii="宋体" w:hAnsi="宋体" w:eastAsia="宋体" w:cs="宋体"/>
                <w:color w:val="auto"/>
                <w:kern w:val="0"/>
                <w:sz w:val="20"/>
                <w:szCs w:val="20"/>
                <w:lang w:val="en-US" w:eastAsia="zh-CN" w:bidi="ar"/>
              </w:rPr>
              <w:t xml:space="preserve">、评标办法 </w:t>
            </w:r>
          </w:p>
          <w:p w14:paraId="51BC2933">
            <w:pPr>
              <w:keepNext w:val="0"/>
              <w:keepLines w:val="0"/>
              <w:widowControl/>
              <w:suppressLineNumbers w:val="0"/>
              <w:jc w:val="left"/>
              <w:rPr>
                <w:color w:val="auto"/>
              </w:rPr>
            </w:pPr>
            <w:r>
              <w:rPr>
                <w:rFonts w:hint="eastAsia" w:ascii="宋体" w:hAnsi="宋体" w:eastAsia="宋体" w:cs="宋体"/>
                <w:color w:val="auto"/>
                <w:kern w:val="0"/>
                <w:sz w:val="20"/>
                <w:szCs w:val="20"/>
                <w:lang w:val="en-US" w:eastAsia="zh-CN" w:bidi="ar"/>
              </w:rPr>
              <w:t xml:space="preserve">本条细化为：本次评标采用双信封形式的技术评分最低标价法。 </w:t>
            </w:r>
          </w:p>
          <w:p w14:paraId="1E194FED">
            <w:pPr>
              <w:keepNext w:val="0"/>
              <w:keepLines w:val="0"/>
              <w:widowControl/>
              <w:suppressLineNumbers w:val="0"/>
              <w:jc w:val="left"/>
              <w:rPr>
                <w:color w:val="auto"/>
              </w:rPr>
            </w:pPr>
            <w:r>
              <w:rPr>
                <w:rFonts w:hint="default" w:ascii="Calibri" w:hAnsi="Calibri" w:eastAsia="宋体" w:cs="Calibri"/>
                <w:color w:val="auto"/>
                <w:kern w:val="0"/>
                <w:sz w:val="20"/>
                <w:szCs w:val="20"/>
                <w:lang w:val="en-US" w:eastAsia="zh-CN" w:bidi="ar"/>
              </w:rPr>
              <w:t xml:space="preserve">1.1 </w:t>
            </w:r>
            <w:r>
              <w:rPr>
                <w:rFonts w:hint="eastAsia" w:ascii="宋体" w:hAnsi="宋体" w:eastAsia="宋体" w:cs="宋体"/>
                <w:color w:val="auto"/>
                <w:kern w:val="0"/>
                <w:sz w:val="20"/>
                <w:szCs w:val="20"/>
                <w:lang w:val="en-US" w:eastAsia="zh-CN" w:bidi="ar"/>
              </w:rPr>
              <w:t xml:space="preserve">评标委员会首先对投标文件第一个信封按照本章第 </w:t>
            </w:r>
            <w:r>
              <w:rPr>
                <w:rFonts w:hint="default" w:ascii="Calibri" w:hAnsi="Calibri" w:eastAsia="宋体" w:cs="Calibri"/>
                <w:color w:val="auto"/>
                <w:kern w:val="0"/>
                <w:sz w:val="20"/>
                <w:szCs w:val="20"/>
                <w:lang w:val="en-US" w:eastAsia="zh-CN" w:bidi="ar"/>
              </w:rPr>
              <w:t xml:space="preserve">3.1 </w:t>
            </w:r>
            <w:r>
              <w:rPr>
                <w:rFonts w:hint="eastAsia" w:ascii="宋体" w:hAnsi="宋体" w:eastAsia="宋体" w:cs="宋体"/>
                <w:color w:val="auto"/>
                <w:kern w:val="0"/>
                <w:sz w:val="20"/>
                <w:szCs w:val="20"/>
                <w:lang w:val="en-US" w:eastAsia="zh-CN" w:bidi="ar"/>
              </w:rPr>
              <w:t xml:space="preserve">款规定进行初步评审（形式评审与响 </w:t>
            </w:r>
          </w:p>
          <w:p w14:paraId="5B2838D9">
            <w:pPr>
              <w:keepNext w:val="0"/>
              <w:keepLines w:val="0"/>
              <w:widowControl/>
              <w:suppressLineNumbers w:val="0"/>
              <w:jc w:val="left"/>
              <w:rPr>
                <w:color w:val="auto"/>
              </w:rPr>
            </w:pPr>
            <w:r>
              <w:rPr>
                <w:rFonts w:hint="eastAsia" w:ascii="宋体" w:hAnsi="宋体" w:eastAsia="宋体" w:cs="宋体"/>
                <w:color w:val="auto"/>
                <w:kern w:val="0"/>
                <w:sz w:val="20"/>
                <w:szCs w:val="20"/>
                <w:lang w:val="en-US" w:eastAsia="zh-CN" w:bidi="ar"/>
              </w:rPr>
              <w:t xml:space="preserve">应性评审、资格评审），并对参与标段内详细评审的投标文件按照本章第 </w:t>
            </w:r>
            <w:r>
              <w:rPr>
                <w:rFonts w:hint="default" w:ascii="Calibri" w:hAnsi="Calibri" w:eastAsia="宋体" w:cs="Calibri"/>
                <w:color w:val="auto"/>
                <w:kern w:val="0"/>
                <w:sz w:val="20"/>
                <w:szCs w:val="20"/>
                <w:lang w:val="en-US" w:eastAsia="zh-CN" w:bidi="ar"/>
              </w:rPr>
              <w:t xml:space="preserve">3.2 </w:t>
            </w:r>
            <w:r>
              <w:rPr>
                <w:rFonts w:hint="eastAsia" w:ascii="宋体" w:hAnsi="宋体" w:eastAsia="宋体" w:cs="宋体"/>
                <w:color w:val="auto"/>
                <w:kern w:val="0"/>
                <w:sz w:val="20"/>
                <w:szCs w:val="20"/>
                <w:lang w:val="en-US" w:eastAsia="zh-CN" w:bidi="ar"/>
              </w:rPr>
              <w:t xml:space="preserve">款规定的评分标准 </w:t>
            </w:r>
          </w:p>
          <w:p w14:paraId="1269617A">
            <w:pPr>
              <w:keepNext w:val="0"/>
              <w:keepLines w:val="0"/>
              <w:widowControl/>
              <w:suppressLineNumbers w:val="0"/>
              <w:jc w:val="left"/>
              <w:rPr>
                <w:color w:val="auto"/>
              </w:rPr>
            </w:pPr>
            <w:r>
              <w:rPr>
                <w:rFonts w:hint="eastAsia" w:ascii="宋体" w:hAnsi="宋体" w:eastAsia="宋体" w:cs="宋体"/>
                <w:color w:val="auto"/>
                <w:kern w:val="0"/>
                <w:sz w:val="20"/>
                <w:szCs w:val="20"/>
                <w:lang w:val="en-US" w:eastAsia="zh-CN" w:bidi="ar"/>
              </w:rPr>
              <w:t xml:space="preserve">进行第一个信封详细评审及评分。各评分因素得分以评标委员会各成员的打分平均值确定：各 </w:t>
            </w:r>
          </w:p>
          <w:p w14:paraId="0129C28D">
            <w:pPr>
              <w:keepNext w:val="0"/>
              <w:keepLines w:val="0"/>
              <w:widowControl/>
              <w:suppressLineNumbers w:val="0"/>
              <w:jc w:val="left"/>
              <w:rPr>
                <w:color w:val="auto"/>
              </w:rPr>
            </w:pPr>
            <w:r>
              <w:rPr>
                <w:rFonts w:hint="eastAsia" w:ascii="宋体" w:hAnsi="宋体" w:eastAsia="宋体" w:cs="宋体"/>
                <w:color w:val="auto"/>
                <w:kern w:val="0"/>
                <w:sz w:val="20"/>
                <w:szCs w:val="20"/>
                <w:lang w:val="en-US" w:eastAsia="zh-CN" w:bidi="ar"/>
              </w:rPr>
              <w:t xml:space="preserve">评分因素得分一般不得低于其权重分值的 </w:t>
            </w:r>
            <w:r>
              <w:rPr>
                <w:rFonts w:hint="default" w:ascii="Calibri" w:hAnsi="Calibri" w:eastAsia="宋体" w:cs="Calibri"/>
                <w:color w:val="auto"/>
                <w:kern w:val="0"/>
                <w:sz w:val="20"/>
                <w:szCs w:val="20"/>
                <w:lang w:val="en-US" w:eastAsia="zh-CN" w:bidi="ar"/>
              </w:rPr>
              <w:t>60%</w:t>
            </w:r>
            <w:r>
              <w:rPr>
                <w:rFonts w:hint="eastAsia" w:ascii="宋体" w:hAnsi="宋体" w:eastAsia="宋体" w:cs="宋体"/>
                <w:color w:val="auto"/>
                <w:kern w:val="0"/>
                <w:sz w:val="20"/>
                <w:szCs w:val="20"/>
                <w:lang w:val="en-US" w:eastAsia="zh-CN" w:bidi="ar"/>
              </w:rPr>
              <w:t xml:space="preserve">，且各评分因素（细分项）得分应以评标委员会 </w:t>
            </w:r>
          </w:p>
          <w:p w14:paraId="0FDB41D6">
            <w:pPr>
              <w:keepNext w:val="0"/>
              <w:keepLines w:val="0"/>
              <w:widowControl/>
              <w:suppressLineNumbers w:val="0"/>
              <w:jc w:val="left"/>
              <w:rPr>
                <w:color w:val="auto"/>
              </w:rPr>
            </w:pPr>
            <w:r>
              <w:rPr>
                <w:rFonts w:hint="eastAsia" w:ascii="宋体" w:hAnsi="宋体" w:eastAsia="宋体" w:cs="宋体"/>
                <w:color w:val="auto"/>
                <w:kern w:val="0"/>
                <w:sz w:val="20"/>
                <w:szCs w:val="20"/>
                <w:lang w:val="en-US" w:eastAsia="zh-CN" w:bidi="ar"/>
              </w:rPr>
              <w:t xml:space="preserve">各成员的打分平均值确定，评标委员会成员总数为 </w:t>
            </w:r>
            <w:r>
              <w:rPr>
                <w:rFonts w:hint="default" w:ascii="Calibri" w:hAnsi="Calibri" w:eastAsia="宋体" w:cs="Calibri"/>
                <w:color w:val="auto"/>
                <w:kern w:val="0"/>
                <w:sz w:val="20"/>
                <w:szCs w:val="20"/>
                <w:lang w:val="en-US" w:eastAsia="zh-CN" w:bidi="ar"/>
              </w:rPr>
              <w:t xml:space="preserve">7 </w:t>
            </w:r>
            <w:r>
              <w:rPr>
                <w:rFonts w:hint="eastAsia" w:ascii="宋体" w:hAnsi="宋体" w:eastAsia="宋体" w:cs="宋体"/>
                <w:color w:val="auto"/>
                <w:kern w:val="0"/>
                <w:sz w:val="20"/>
                <w:szCs w:val="20"/>
                <w:lang w:val="en-US" w:eastAsia="zh-CN" w:bidi="ar"/>
              </w:rPr>
              <w:t xml:space="preserve">人（含）以上时，该平均值以去掉一个最 </w:t>
            </w:r>
          </w:p>
          <w:p w14:paraId="5F117FE2">
            <w:pPr>
              <w:keepNext w:val="0"/>
              <w:keepLines w:val="0"/>
              <w:widowControl/>
              <w:suppressLineNumbers w:val="0"/>
              <w:jc w:val="left"/>
              <w:rPr>
                <w:color w:val="auto"/>
              </w:rPr>
            </w:pPr>
            <w:r>
              <w:rPr>
                <w:rFonts w:hint="eastAsia" w:ascii="宋体" w:hAnsi="宋体" w:eastAsia="宋体" w:cs="宋体"/>
                <w:color w:val="auto"/>
                <w:kern w:val="0"/>
                <w:sz w:val="20"/>
                <w:szCs w:val="20"/>
                <w:lang w:val="en-US" w:eastAsia="zh-CN" w:bidi="ar"/>
              </w:rPr>
              <w:t xml:space="preserve">高分和一个最低分后计算。评标委员会成员对某一项评分因素（细分项）的评分低于权重分值 </w:t>
            </w:r>
            <w:r>
              <w:rPr>
                <w:rFonts w:hint="default" w:ascii="Calibri" w:hAnsi="Calibri" w:eastAsia="宋体" w:cs="Calibri"/>
                <w:color w:val="auto"/>
                <w:kern w:val="0"/>
                <w:sz w:val="20"/>
                <w:szCs w:val="20"/>
                <w:lang w:val="en-US" w:eastAsia="zh-CN" w:bidi="ar"/>
              </w:rPr>
              <w:t xml:space="preserve">6 </w:t>
            </w:r>
          </w:p>
          <w:p w14:paraId="5C1101BC">
            <w:pPr>
              <w:keepNext w:val="0"/>
              <w:keepLines w:val="0"/>
              <w:widowControl/>
              <w:suppressLineNumbers w:val="0"/>
              <w:jc w:val="left"/>
              <w:rPr>
                <w:color w:val="auto"/>
              </w:rPr>
            </w:pPr>
            <w:r>
              <w:rPr>
                <w:rFonts w:hint="default" w:ascii="Calibri" w:hAnsi="Calibri" w:eastAsia="宋体" w:cs="Calibri"/>
                <w:color w:val="auto"/>
                <w:kern w:val="0"/>
                <w:sz w:val="20"/>
                <w:szCs w:val="20"/>
                <w:lang w:val="en-US" w:eastAsia="zh-CN" w:bidi="ar"/>
              </w:rPr>
              <w:t>0%</w:t>
            </w:r>
            <w:r>
              <w:rPr>
                <w:rFonts w:hint="eastAsia" w:ascii="宋体" w:hAnsi="宋体" w:eastAsia="宋体" w:cs="宋体"/>
                <w:color w:val="auto"/>
                <w:kern w:val="0"/>
                <w:sz w:val="20"/>
                <w:szCs w:val="20"/>
                <w:lang w:val="en-US" w:eastAsia="zh-CN" w:bidi="ar"/>
              </w:rPr>
              <w:t xml:space="preserve">的，应在评标报告中作出说明。 </w:t>
            </w:r>
          </w:p>
          <w:p w14:paraId="5E609077">
            <w:pPr>
              <w:keepNext w:val="0"/>
              <w:keepLines w:val="0"/>
              <w:widowControl/>
              <w:suppressLineNumbers w:val="0"/>
              <w:jc w:val="left"/>
              <w:rPr>
                <w:color w:val="auto"/>
              </w:rPr>
            </w:pPr>
            <w:r>
              <w:rPr>
                <w:rFonts w:hint="default" w:ascii="Calibri" w:hAnsi="Calibri" w:eastAsia="宋体" w:cs="Calibri"/>
                <w:color w:val="auto"/>
                <w:kern w:val="0"/>
                <w:sz w:val="20"/>
                <w:szCs w:val="20"/>
                <w:lang w:val="en-US" w:eastAsia="zh-CN" w:bidi="ar"/>
              </w:rPr>
              <w:t xml:space="preserve">1.2 </w:t>
            </w:r>
            <w:r>
              <w:rPr>
                <w:rFonts w:hint="eastAsia" w:ascii="宋体" w:hAnsi="宋体" w:eastAsia="宋体" w:cs="宋体"/>
                <w:color w:val="auto"/>
                <w:kern w:val="0"/>
                <w:sz w:val="20"/>
                <w:szCs w:val="20"/>
                <w:lang w:val="en-US" w:eastAsia="zh-CN" w:bidi="ar"/>
              </w:rPr>
              <w:t xml:space="preserve">补充 </w:t>
            </w:r>
            <w:r>
              <w:rPr>
                <w:rFonts w:hint="default" w:ascii="Calibri" w:hAnsi="Calibri" w:eastAsia="宋体" w:cs="Calibri"/>
                <w:color w:val="auto"/>
                <w:kern w:val="0"/>
                <w:sz w:val="20"/>
                <w:szCs w:val="20"/>
                <w:lang w:val="en-US" w:eastAsia="zh-CN" w:bidi="ar"/>
              </w:rPr>
              <w:t xml:space="preserve">3.2.4 </w:t>
            </w:r>
            <w:r>
              <w:rPr>
                <w:rFonts w:hint="eastAsia" w:ascii="宋体" w:hAnsi="宋体" w:eastAsia="宋体" w:cs="宋体"/>
                <w:color w:val="auto"/>
                <w:kern w:val="0"/>
                <w:sz w:val="20"/>
                <w:szCs w:val="20"/>
                <w:lang w:val="en-US" w:eastAsia="zh-CN" w:bidi="ar"/>
              </w:rPr>
              <w:t xml:space="preserve">通过第一个信封详细评审的投标人的数量：按照招标人商务和技术评分由高到低 </w:t>
            </w:r>
          </w:p>
          <w:p w14:paraId="18B18BC3">
            <w:pPr>
              <w:keepNext w:val="0"/>
              <w:keepLines w:val="0"/>
              <w:widowControl/>
              <w:suppressLineNumbers w:val="0"/>
              <w:jc w:val="left"/>
              <w:rPr>
                <w:color w:val="auto"/>
              </w:rPr>
            </w:pPr>
            <w:r>
              <w:rPr>
                <w:rFonts w:hint="eastAsia" w:ascii="宋体" w:hAnsi="宋体" w:eastAsia="宋体" w:cs="宋体"/>
                <w:color w:val="auto"/>
                <w:kern w:val="0"/>
                <w:sz w:val="20"/>
                <w:szCs w:val="20"/>
                <w:lang w:val="en-US" w:eastAsia="zh-CN" w:bidi="ar"/>
              </w:rPr>
              <w:t xml:space="preserve">排序，对排名在 </w:t>
            </w:r>
            <w:r>
              <w:rPr>
                <w:rFonts w:hint="default" w:ascii="Calibri" w:hAnsi="Calibri" w:eastAsia="宋体" w:cs="Calibri"/>
                <w:color w:val="auto"/>
                <w:kern w:val="0"/>
                <w:sz w:val="20"/>
                <w:szCs w:val="20"/>
                <w:lang w:val="en-US" w:eastAsia="zh-CN" w:bidi="ar"/>
              </w:rPr>
              <w:t xml:space="preserve">n </w:t>
            </w:r>
            <w:r>
              <w:rPr>
                <w:rFonts w:hint="eastAsia" w:ascii="宋体" w:hAnsi="宋体" w:eastAsia="宋体" w:cs="宋体"/>
                <w:color w:val="auto"/>
                <w:kern w:val="0"/>
                <w:sz w:val="20"/>
                <w:szCs w:val="20"/>
                <w:lang w:val="en-US" w:eastAsia="zh-CN" w:bidi="ar"/>
              </w:rPr>
              <w:t>以内的投标人的报价文件进行评审，</w:t>
            </w:r>
            <w:r>
              <w:rPr>
                <w:rFonts w:hint="default" w:ascii="Calibri" w:hAnsi="Calibri" w:eastAsia="宋体" w:cs="Calibri"/>
                <w:color w:val="auto"/>
                <w:kern w:val="0"/>
                <w:sz w:val="20"/>
                <w:szCs w:val="20"/>
                <w:lang w:val="en-US" w:eastAsia="zh-CN" w:bidi="ar"/>
              </w:rPr>
              <w:t xml:space="preserve">n </w:t>
            </w:r>
            <w:r>
              <w:rPr>
                <w:rFonts w:hint="eastAsia" w:ascii="宋体" w:hAnsi="宋体" w:eastAsia="宋体" w:cs="宋体"/>
                <w:color w:val="auto"/>
                <w:kern w:val="0"/>
                <w:sz w:val="20"/>
                <w:szCs w:val="20"/>
                <w:lang w:val="en-US" w:eastAsia="zh-CN" w:bidi="ar"/>
              </w:rPr>
              <w:t xml:space="preserve">值按参与商务和技术评分投标人数量的 </w:t>
            </w:r>
          </w:p>
          <w:p w14:paraId="5A99D89E">
            <w:pPr>
              <w:keepNext w:val="0"/>
              <w:keepLines w:val="0"/>
              <w:widowControl/>
              <w:suppressLineNumbers w:val="0"/>
              <w:jc w:val="left"/>
              <w:rPr>
                <w:color w:val="auto"/>
              </w:rPr>
            </w:pPr>
            <w:r>
              <w:rPr>
                <w:rFonts w:hint="default" w:ascii="Calibri" w:hAnsi="Calibri" w:eastAsia="宋体" w:cs="Calibri"/>
                <w:color w:val="auto"/>
                <w:kern w:val="0"/>
                <w:sz w:val="20"/>
                <w:szCs w:val="20"/>
                <w:lang w:val="en-US" w:eastAsia="zh-CN" w:bidi="ar"/>
              </w:rPr>
              <w:t>30% (</w:t>
            </w:r>
            <w:r>
              <w:rPr>
                <w:rFonts w:hint="eastAsia" w:ascii="宋体" w:hAnsi="宋体" w:eastAsia="宋体" w:cs="宋体"/>
                <w:color w:val="auto"/>
                <w:kern w:val="0"/>
                <w:sz w:val="20"/>
                <w:szCs w:val="20"/>
                <w:lang w:val="en-US" w:eastAsia="zh-CN" w:bidi="ar"/>
              </w:rPr>
              <w:t>数值向下取整</w:t>
            </w:r>
            <w:r>
              <w:rPr>
                <w:rFonts w:hint="default" w:ascii="Calibri" w:hAnsi="Calibri" w:eastAsia="宋体" w:cs="Calibri"/>
                <w:color w:val="auto"/>
                <w:kern w:val="0"/>
                <w:sz w:val="20"/>
                <w:szCs w:val="20"/>
                <w:lang w:val="en-US" w:eastAsia="zh-CN" w:bidi="ar"/>
              </w:rPr>
              <w:t>)</w:t>
            </w:r>
            <w:r>
              <w:rPr>
                <w:rFonts w:hint="eastAsia" w:ascii="宋体" w:hAnsi="宋体" w:eastAsia="宋体" w:cs="宋体"/>
                <w:color w:val="auto"/>
                <w:kern w:val="0"/>
                <w:sz w:val="20"/>
                <w:szCs w:val="20"/>
                <w:lang w:val="en-US" w:eastAsia="zh-CN" w:bidi="ar"/>
              </w:rPr>
              <w:t>确定，</w:t>
            </w:r>
            <w:r>
              <w:rPr>
                <w:rFonts w:hint="default" w:ascii="Calibri" w:hAnsi="Calibri" w:eastAsia="宋体" w:cs="Calibri"/>
                <w:color w:val="auto"/>
                <w:kern w:val="0"/>
                <w:sz w:val="20"/>
                <w:szCs w:val="20"/>
                <w:lang w:val="en-US" w:eastAsia="zh-CN" w:bidi="ar"/>
              </w:rPr>
              <w:t xml:space="preserve">n </w:t>
            </w:r>
            <w:r>
              <w:rPr>
                <w:rFonts w:hint="eastAsia" w:ascii="宋体" w:hAnsi="宋体" w:eastAsia="宋体" w:cs="宋体"/>
                <w:color w:val="auto"/>
                <w:kern w:val="0"/>
                <w:sz w:val="20"/>
                <w:szCs w:val="20"/>
                <w:lang w:val="en-US" w:eastAsia="zh-CN" w:bidi="ar"/>
              </w:rPr>
              <w:t xml:space="preserve">值不得小于 </w:t>
            </w:r>
            <w:r>
              <w:rPr>
                <w:rFonts w:hint="default" w:ascii="Calibri" w:hAnsi="Calibri" w:eastAsia="宋体" w:cs="Calibri"/>
                <w:color w:val="auto"/>
                <w:kern w:val="0"/>
                <w:sz w:val="20"/>
                <w:szCs w:val="20"/>
                <w:lang w:val="en-US" w:eastAsia="zh-CN" w:bidi="ar"/>
              </w:rPr>
              <w:t>3</w:t>
            </w:r>
            <w:r>
              <w:rPr>
                <w:rFonts w:hint="eastAsia" w:ascii="宋体" w:hAnsi="宋体" w:eastAsia="宋体" w:cs="宋体"/>
                <w:color w:val="auto"/>
                <w:kern w:val="0"/>
                <w:sz w:val="20"/>
                <w:szCs w:val="20"/>
                <w:lang w:val="en-US" w:eastAsia="zh-CN" w:bidi="ar"/>
              </w:rPr>
              <w:t xml:space="preserve">，不得大于 </w:t>
            </w:r>
            <w:r>
              <w:rPr>
                <w:rFonts w:hint="default" w:ascii="Calibri" w:hAnsi="Calibri" w:eastAsia="宋体" w:cs="Calibri"/>
                <w:color w:val="auto"/>
                <w:kern w:val="0"/>
                <w:sz w:val="20"/>
                <w:szCs w:val="20"/>
                <w:lang w:val="en-US" w:eastAsia="zh-CN" w:bidi="ar"/>
              </w:rPr>
              <w:t>10</w:t>
            </w:r>
            <w:r>
              <w:rPr>
                <w:rFonts w:hint="eastAsia" w:ascii="宋体" w:hAnsi="宋体" w:eastAsia="宋体" w:cs="宋体"/>
                <w:color w:val="auto"/>
                <w:kern w:val="0"/>
                <w:sz w:val="20"/>
                <w:szCs w:val="20"/>
                <w:lang w:val="en-US" w:eastAsia="zh-CN" w:bidi="ar"/>
              </w:rPr>
              <w:t xml:space="preserve">。排名在规定数量以内的投标人，方可 </w:t>
            </w:r>
          </w:p>
          <w:p w14:paraId="50F97B99">
            <w:pPr>
              <w:keepNext w:val="0"/>
              <w:keepLines w:val="0"/>
              <w:widowControl/>
              <w:suppressLineNumbers w:val="0"/>
              <w:jc w:val="left"/>
              <w:rPr>
                <w:color w:val="auto"/>
              </w:rPr>
            </w:pPr>
            <w:r>
              <w:rPr>
                <w:rFonts w:hint="eastAsia" w:ascii="宋体" w:hAnsi="宋体" w:eastAsia="宋体" w:cs="宋体"/>
                <w:color w:val="auto"/>
                <w:kern w:val="0"/>
                <w:sz w:val="20"/>
                <w:szCs w:val="20"/>
                <w:lang w:val="en-US" w:eastAsia="zh-CN" w:bidi="ar"/>
              </w:rPr>
              <w:t xml:space="preserve">进入进入第二个信封（报价文件）的评审，其第二信封在监督机关的监督下进行线上开标。 </w:t>
            </w:r>
          </w:p>
          <w:p w14:paraId="48357DB2">
            <w:pPr>
              <w:keepNext w:val="0"/>
              <w:keepLines w:val="0"/>
              <w:widowControl/>
              <w:suppressLineNumbers w:val="0"/>
              <w:jc w:val="left"/>
              <w:rPr>
                <w:color w:val="auto"/>
              </w:rPr>
            </w:pPr>
            <w:r>
              <w:rPr>
                <w:rFonts w:hint="default" w:ascii="Calibri" w:hAnsi="Calibri" w:eastAsia="宋体" w:cs="Calibri"/>
                <w:color w:val="auto"/>
                <w:kern w:val="0"/>
                <w:sz w:val="20"/>
                <w:szCs w:val="20"/>
                <w:lang w:val="en-US" w:eastAsia="zh-CN" w:bidi="ar"/>
              </w:rPr>
              <w:t xml:space="preserve">1.3 </w:t>
            </w:r>
            <w:r>
              <w:rPr>
                <w:rFonts w:hint="eastAsia" w:ascii="宋体" w:hAnsi="宋体" w:eastAsia="宋体" w:cs="宋体"/>
                <w:color w:val="auto"/>
                <w:kern w:val="0"/>
                <w:sz w:val="20"/>
                <w:szCs w:val="20"/>
                <w:lang w:val="en-US" w:eastAsia="zh-CN" w:bidi="ar"/>
              </w:rPr>
              <w:t>若两个及以上投标人在第一信封（商务和技术）综合得分均相同时，推荐顺序则依次依据</w:t>
            </w:r>
            <w:r>
              <w:rPr>
                <w:rFonts w:hint="default" w:ascii="Calibri" w:hAnsi="Calibri" w:eastAsia="宋体" w:cs="Calibri"/>
                <w:color w:val="auto"/>
                <w:kern w:val="0"/>
                <w:sz w:val="20"/>
                <w:szCs w:val="20"/>
                <w:lang w:val="en-US" w:eastAsia="zh-CN" w:bidi="ar"/>
              </w:rPr>
              <w:t>“</w:t>
            </w:r>
            <w:r>
              <w:rPr>
                <w:rFonts w:hint="eastAsia" w:ascii="宋体" w:hAnsi="宋体" w:eastAsia="宋体" w:cs="宋体"/>
                <w:color w:val="auto"/>
                <w:kern w:val="0"/>
                <w:sz w:val="20"/>
                <w:szCs w:val="20"/>
                <w:lang w:val="en-US" w:eastAsia="zh-CN" w:bidi="ar"/>
              </w:rPr>
              <w:t xml:space="preserve">履 </w:t>
            </w:r>
          </w:p>
          <w:p w14:paraId="0E65F214">
            <w:pPr>
              <w:keepNext w:val="0"/>
              <w:keepLines w:val="0"/>
              <w:widowControl/>
              <w:suppressLineNumbers w:val="0"/>
              <w:jc w:val="left"/>
              <w:rPr>
                <w:color w:val="auto"/>
              </w:rPr>
            </w:pPr>
            <w:r>
              <w:rPr>
                <w:rFonts w:hint="eastAsia" w:ascii="宋体" w:hAnsi="宋体" w:eastAsia="宋体" w:cs="宋体"/>
                <w:color w:val="auto"/>
                <w:kern w:val="0"/>
                <w:sz w:val="20"/>
                <w:szCs w:val="20"/>
                <w:lang w:val="en-US" w:eastAsia="zh-CN" w:bidi="ar"/>
              </w:rPr>
              <w:t xml:space="preserve">约信誉得分 </w:t>
            </w:r>
            <w:r>
              <w:rPr>
                <w:rFonts w:hint="default" w:ascii="Calibri" w:hAnsi="Calibri" w:eastAsia="宋体" w:cs="Calibri"/>
                <w:color w:val="auto"/>
                <w:kern w:val="0"/>
                <w:sz w:val="20"/>
                <w:szCs w:val="20"/>
                <w:lang w:val="en-US" w:eastAsia="zh-CN" w:bidi="ar"/>
              </w:rPr>
              <w:t>”</w:t>
            </w:r>
            <w:r>
              <w:rPr>
                <w:rFonts w:hint="eastAsia" w:ascii="宋体" w:hAnsi="宋体" w:eastAsia="宋体" w:cs="宋体"/>
                <w:color w:val="auto"/>
                <w:kern w:val="0"/>
                <w:sz w:val="20"/>
                <w:szCs w:val="20"/>
                <w:lang w:val="en-US" w:eastAsia="zh-CN" w:bidi="ar"/>
              </w:rPr>
              <w:t>、</w:t>
            </w:r>
            <w:r>
              <w:rPr>
                <w:rFonts w:hint="default" w:ascii="Calibri" w:hAnsi="Calibri" w:eastAsia="宋体" w:cs="Calibri"/>
                <w:color w:val="auto"/>
                <w:kern w:val="0"/>
                <w:sz w:val="20"/>
                <w:szCs w:val="20"/>
                <w:lang w:val="en-US" w:eastAsia="zh-CN" w:bidi="ar"/>
              </w:rPr>
              <w:t>“</w:t>
            </w:r>
            <w:r>
              <w:rPr>
                <w:rFonts w:hint="eastAsia" w:ascii="宋体" w:hAnsi="宋体" w:eastAsia="宋体" w:cs="宋体"/>
                <w:color w:val="auto"/>
                <w:kern w:val="0"/>
                <w:sz w:val="20"/>
                <w:szCs w:val="20"/>
                <w:lang w:val="en-US" w:eastAsia="zh-CN" w:bidi="ar"/>
              </w:rPr>
              <w:t xml:space="preserve">主要人员得分 </w:t>
            </w:r>
            <w:r>
              <w:rPr>
                <w:rFonts w:hint="default" w:ascii="Calibri" w:hAnsi="Calibri" w:eastAsia="宋体" w:cs="Calibri"/>
                <w:color w:val="auto"/>
                <w:kern w:val="0"/>
                <w:sz w:val="20"/>
                <w:szCs w:val="20"/>
                <w:lang w:val="en-US" w:eastAsia="zh-CN" w:bidi="ar"/>
              </w:rPr>
              <w:t>”</w:t>
            </w:r>
            <w:r>
              <w:rPr>
                <w:rFonts w:hint="eastAsia" w:ascii="宋体" w:hAnsi="宋体" w:eastAsia="宋体" w:cs="宋体"/>
                <w:color w:val="auto"/>
                <w:kern w:val="0"/>
                <w:sz w:val="20"/>
                <w:szCs w:val="20"/>
                <w:lang w:val="en-US" w:eastAsia="zh-CN" w:bidi="ar"/>
              </w:rPr>
              <w:t>、</w:t>
            </w:r>
            <w:r>
              <w:rPr>
                <w:rFonts w:hint="default" w:ascii="Calibri" w:hAnsi="Calibri" w:eastAsia="宋体" w:cs="Calibri"/>
                <w:color w:val="auto"/>
                <w:kern w:val="0"/>
                <w:sz w:val="20"/>
                <w:szCs w:val="20"/>
                <w:lang w:val="en-US" w:eastAsia="zh-CN" w:bidi="ar"/>
              </w:rPr>
              <w:t>“</w:t>
            </w:r>
            <w:r>
              <w:rPr>
                <w:rFonts w:hint="eastAsia" w:ascii="宋体" w:hAnsi="宋体" w:eastAsia="宋体" w:cs="宋体"/>
                <w:color w:val="auto"/>
                <w:kern w:val="0"/>
                <w:sz w:val="20"/>
                <w:szCs w:val="20"/>
                <w:lang w:val="en-US" w:eastAsia="zh-CN" w:bidi="ar"/>
              </w:rPr>
              <w:t>企业业绩</w:t>
            </w:r>
            <w:r>
              <w:rPr>
                <w:rFonts w:hint="default" w:ascii="Calibri" w:hAnsi="Calibri" w:eastAsia="宋体" w:cs="Calibri"/>
                <w:color w:val="auto"/>
                <w:kern w:val="0"/>
                <w:sz w:val="20"/>
                <w:szCs w:val="20"/>
                <w:lang w:val="en-US" w:eastAsia="zh-CN" w:bidi="ar"/>
              </w:rPr>
              <w:t>”</w:t>
            </w:r>
            <w:r>
              <w:rPr>
                <w:rFonts w:hint="eastAsia" w:ascii="宋体" w:hAnsi="宋体" w:eastAsia="宋体" w:cs="宋体"/>
                <w:color w:val="auto"/>
                <w:kern w:val="0"/>
                <w:sz w:val="20"/>
                <w:szCs w:val="20"/>
                <w:lang w:val="en-US" w:eastAsia="zh-CN" w:bidi="ar"/>
              </w:rPr>
              <w:t>、</w:t>
            </w:r>
            <w:r>
              <w:rPr>
                <w:rFonts w:hint="default" w:ascii="Calibri" w:hAnsi="Calibri" w:eastAsia="宋体" w:cs="Calibri"/>
                <w:color w:val="auto"/>
                <w:kern w:val="0"/>
                <w:sz w:val="20"/>
                <w:szCs w:val="20"/>
                <w:lang w:val="en-US" w:eastAsia="zh-CN" w:bidi="ar"/>
              </w:rPr>
              <w:t>“</w:t>
            </w:r>
            <w:r>
              <w:rPr>
                <w:rFonts w:hint="eastAsia" w:ascii="宋体" w:hAnsi="宋体" w:eastAsia="宋体" w:cs="宋体"/>
                <w:color w:val="auto"/>
                <w:kern w:val="0"/>
                <w:sz w:val="20"/>
                <w:szCs w:val="20"/>
                <w:lang w:val="en-US" w:eastAsia="zh-CN" w:bidi="ar"/>
              </w:rPr>
              <w:t>施工组织设计</w:t>
            </w:r>
            <w:r>
              <w:rPr>
                <w:rFonts w:hint="default" w:ascii="Calibri" w:hAnsi="Calibri" w:eastAsia="宋体" w:cs="Calibri"/>
                <w:color w:val="auto"/>
                <w:kern w:val="0"/>
                <w:sz w:val="20"/>
                <w:szCs w:val="20"/>
                <w:lang w:val="en-US" w:eastAsia="zh-CN" w:bidi="ar"/>
              </w:rPr>
              <w:t>”</w:t>
            </w:r>
            <w:r>
              <w:rPr>
                <w:rFonts w:hint="eastAsia" w:ascii="宋体" w:hAnsi="宋体" w:eastAsia="宋体" w:cs="宋体"/>
                <w:color w:val="auto"/>
                <w:kern w:val="0"/>
                <w:sz w:val="20"/>
                <w:szCs w:val="20"/>
                <w:lang w:val="en-US" w:eastAsia="zh-CN" w:bidi="ar"/>
              </w:rPr>
              <w:t>由高到低的顺序进行确定，若</w:t>
            </w:r>
            <w:r>
              <w:rPr>
                <w:rFonts w:hint="default" w:ascii="Calibri" w:hAnsi="Calibri" w:eastAsia="宋体" w:cs="Calibri"/>
                <w:color w:val="auto"/>
                <w:kern w:val="0"/>
                <w:sz w:val="20"/>
                <w:szCs w:val="20"/>
                <w:lang w:val="en-US" w:eastAsia="zh-CN" w:bidi="ar"/>
              </w:rPr>
              <w:t>“</w:t>
            </w:r>
            <w:r>
              <w:rPr>
                <w:rFonts w:hint="eastAsia" w:ascii="宋体" w:hAnsi="宋体" w:eastAsia="宋体" w:cs="宋体"/>
                <w:color w:val="auto"/>
                <w:kern w:val="0"/>
                <w:sz w:val="20"/>
                <w:szCs w:val="20"/>
                <w:lang w:val="en-US" w:eastAsia="zh-CN" w:bidi="ar"/>
              </w:rPr>
              <w:t xml:space="preserve">施 </w:t>
            </w:r>
          </w:p>
          <w:p w14:paraId="0A6A20E6">
            <w:pPr>
              <w:keepNext w:val="0"/>
              <w:keepLines w:val="0"/>
              <w:widowControl/>
              <w:suppressLineNumbers w:val="0"/>
              <w:jc w:val="left"/>
              <w:rPr>
                <w:color w:val="auto"/>
              </w:rPr>
            </w:pPr>
            <w:r>
              <w:rPr>
                <w:rFonts w:hint="eastAsia" w:ascii="宋体" w:hAnsi="宋体" w:eastAsia="宋体" w:cs="宋体"/>
                <w:color w:val="auto"/>
                <w:kern w:val="0"/>
                <w:sz w:val="20"/>
                <w:szCs w:val="20"/>
                <w:lang w:val="en-US" w:eastAsia="zh-CN" w:bidi="ar"/>
              </w:rPr>
              <w:t>工组织设计</w:t>
            </w:r>
            <w:r>
              <w:rPr>
                <w:rFonts w:hint="default" w:ascii="Calibri" w:hAnsi="Calibri" w:eastAsia="宋体" w:cs="Calibri"/>
                <w:color w:val="auto"/>
                <w:kern w:val="0"/>
                <w:sz w:val="20"/>
                <w:szCs w:val="20"/>
                <w:lang w:val="en-US" w:eastAsia="zh-CN" w:bidi="ar"/>
              </w:rPr>
              <w:t>”</w:t>
            </w:r>
            <w:r>
              <w:rPr>
                <w:rFonts w:hint="eastAsia" w:ascii="宋体" w:hAnsi="宋体" w:eastAsia="宋体" w:cs="宋体"/>
                <w:color w:val="auto"/>
                <w:kern w:val="0"/>
                <w:sz w:val="20"/>
                <w:szCs w:val="20"/>
                <w:lang w:val="en-US" w:eastAsia="zh-CN" w:bidi="ar"/>
              </w:rPr>
              <w:t xml:space="preserve">也相等时，则由评标委员会根据施工组织设计的编制情况投票确定其推荐顺序。 </w:t>
            </w:r>
          </w:p>
          <w:p w14:paraId="08CBE10F">
            <w:pPr>
              <w:keepNext w:val="0"/>
              <w:keepLines w:val="0"/>
              <w:widowControl/>
              <w:suppressLineNumbers w:val="0"/>
              <w:jc w:val="left"/>
              <w:rPr>
                <w:color w:val="auto"/>
              </w:rPr>
            </w:pPr>
            <w:r>
              <w:rPr>
                <w:rFonts w:hint="default" w:ascii="Calibri" w:hAnsi="Calibri" w:eastAsia="宋体" w:cs="Calibri"/>
                <w:color w:val="auto"/>
                <w:kern w:val="0"/>
                <w:sz w:val="20"/>
                <w:szCs w:val="20"/>
                <w:lang w:val="en-US" w:eastAsia="zh-CN" w:bidi="ar"/>
              </w:rPr>
              <w:t xml:space="preserve">1.4 </w:t>
            </w:r>
            <w:r>
              <w:rPr>
                <w:rFonts w:hint="eastAsia" w:ascii="宋体" w:hAnsi="宋体" w:eastAsia="宋体" w:cs="宋体"/>
                <w:color w:val="auto"/>
                <w:kern w:val="0"/>
                <w:sz w:val="20"/>
                <w:szCs w:val="20"/>
                <w:lang w:val="en-US" w:eastAsia="zh-CN" w:bidi="ar"/>
              </w:rPr>
              <w:t xml:space="preserve">评标委员会对开启的投标文件第二信封进行形式和响应性评审，对通过形式和响应性评审的投标人，按评标价由低至高的顺序推荐中标候选人，但评标价低于其成本的除外。 </w:t>
            </w:r>
          </w:p>
          <w:p w14:paraId="427E9284">
            <w:pPr>
              <w:keepNext w:val="0"/>
              <w:keepLines w:val="0"/>
              <w:widowControl/>
              <w:suppressLineNumbers w:val="0"/>
              <w:jc w:val="left"/>
              <w:rPr>
                <w:color w:val="auto"/>
              </w:rPr>
            </w:pPr>
            <w:r>
              <w:rPr>
                <w:rFonts w:hint="eastAsia" w:ascii="宋体" w:hAnsi="宋体" w:eastAsia="宋体" w:cs="宋体"/>
                <w:color w:val="auto"/>
                <w:kern w:val="0"/>
                <w:sz w:val="20"/>
                <w:szCs w:val="20"/>
                <w:lang w:val="en-US" w:eastAsia="zh-CN" w:bidi="ar"/>
              </w:rPr>
              <w:t xml:space="preserve">评标价相等时，评标委员会依次按照以下优先顺序推荐中标候选人或确定中标人：被辽宁省交通运输厅评为较高信用等级的投标人优先；商务和技术得分较高的投标人优先； </w:t>
            </w:r>
          </w:p>
          <w:p w14:paraId="2E90EC5A">
            <w:pPr>
              <w:keepNext w:val="0"/>
              <w:keepLines w:val="0"/>
              <w:widowControl/>
              <w:suppressLineNumbers w:val="0"/>
              <w:jc w:val="left"/>
              <w:rPr>
                <w:color w:val="auto"/>
              </w:rPr>
            </w:pPr>
            <w:r>
              <w:rPr>
                <w:rFonts w:hint="default" w:ascii="Calibri" w:hAnsi="Calibri" w:eastAsia="宋体" w:cs="Calibri"/>
                <w:color w:val="auto"/>
                <w:kern w:val="0"/>
                <w:sz w:val="20"/>
                <w:szCs w:val="20"/>
                <w:lang w:val="en-US" w:eastAsia="zh-CN" w:bidi="ar"/>
              </w:rPr>
              <w:t xml:space="preserve">1.5 </w:t>
            </w:r>
            <w:r>
              <w:rPr>
                <w:rFonts w:hint="eastAsia" w:ascii="宋体" w:hAnsi="宋体" w:eastAsia="宋体" w:cs="宋体"/>
                <w:color w:val="auto"/>
                <w:kern w:val="0"/>
                <w:sz w:val="20"/>
                <w:szCs w:val="20"/>
                <w:lang w:val="en-US" w:eastAsia="zh-CN" w:bidi="ar"/>
              </w:rPr>
              <w:t xml:space="preserve">评标委员会按照本条第 </w:t>
            </w:r>
            <w:r>
              <w:rPr>
                <w:rFonts w:hint="default" w:ascii="Calibri" w:hAnsi="Calibri" w:eastAsia="宋体" w:cs="Calibri"/>
                <w:color w:val="auto"/>
                <w:kern w:val="0"/>
                <w:sz w:val="20"/>
                <w:szCs w:val="20"/>
                <w:lang w:val="en-US" w:eastAsia="zh-CN" w:bidi="ar"/>
              </w:rPr>
              <w:t xml:space="preserve">1.4 </w:t>
            </w:r>
            <w:r>
              <w:rPr>
                <w:rFonts w:hint="eastAsia" w:ascii="宋体" w:hAnsi="宋体" w:eastAsia="宋体" w:cs="宋体"/>
                <w:color w:val="auto"/>
                <w:kern w:val="0"/>
                <w:sz w:val="20"/>
                <w:szCs w:val="20"/>
                <w:lang w:val="en-US" w:eastAsia="zh-CN" w:bidi="ar"/>
              </w:rPr>
              <w:t xml:space="preserve">款中确定的先后排序推荐 </w:t>
            </w:r>
            <w:r>
              <w:rPr>
                <w:rFonts w:hint="default" w:ascii="Calibri" w:hAnsi="Calibri" w:eastAsia="宋体" w:cs="Calibri"/>
                <w:color w:val="auto"/>
                <w:kern w:val="0"/>
                <w:sz w:val="20"/>
                <w:szCs w:val="20"/>
                <w:lang w:val="en-US" w:eastAsia="zh-CN" w:bidi="ar"/>
              </w:rPr>
              <w:t xml:space="preserve">1~3 </w:t>
            </w:r>
            <w:r>
              <w:rPr>
                <w:rFonts w:hint="eastAsia" w:ascii="宋体" w:hAnsi="宋体" w:eastAsia="宋体" w:cs="宋体"/>
                <w:color w:val="auto"/>
                <w:kern w:val="0"/>
                <w:sz w:val="20"/>
                <w:szCs w:val="20"/>
                <w:lang w:val="en-US" w:eastAsia="zh-CN" w:bidi="ar"/>
              </w:rPr>
              <w:t xml:space="preserve">名中标候选人。 </w:t>
            </w:r>
          </w:p>
          <w:p w14:paraId="0A4B8B55">
            <w:pPr>
              <w:keepNext w:val="0"/>
              <w:keepLines w:val="0"/>
              <w:widowControl/>
              <w:suppressLineNumbers w:val="0"/>
              <w:jc w:val="left"/>
              <w:rPr>
                <w:color w:val="auto"/>
              </w:rPr>
            </w:pPr>
            <w:r>
              <w:rPr>
                <w:rFonts w:hint="default" w:ascii="Calibri" w:hAnsi="Calibri" w:eastAsia="宋体" w:cs="Calibri"/>
                <w:color w:val="auto"/>
                <w:kern w:val="0"/>
                <w:sz w:val="20"/>
                <w:szCs w:val="20"/>
                <w:lang w:val="en-US" w:eastAsia="zh-CN" w:bidi="ar"/>
              </w:rPr>
              <w:t xml:space="preserve">1.6 </w:t>
            </w:r>
            <w:r>
              <w:rPr>
                <w:rFonts w:hint="eastAsia" w:ascii="宋体" w:hAnsi="宋体" w:eastAsia="宋体" w:cs="宋体"/>
                <w:color w:val="auto"/>
                <w:kern w:val="0"/>
                <w:sz w:val="20"/>
                <w:szCs w:val="20"/>
                <w:lang w:val="en-US" w:eastAsia="zh-CN" w:bidi="ar"/>
              </w:rPr>
              <w:t xml:space="preserve">某一标段通过第一个信封评审且参与第二个信封开标的投标人在 </w:t>
            </w:r>
            <w:r>
              <w:rPr>
                <w:rFonts w:hint="default" w:ascii="Calibri" w:hAnsi="Calibri" w:eastAsia="宋体" w:cs="Calibri"/>
                <w:color w:val="auto"/>
                <w:kern w:val="0"/>
                <w:sz w:val="20"/>
                <w:szCs w:val="20"/>
                <w:lang w:val="en-US" w:eastAsia="zh-CN" w:bidi="ar"/>
              </w:rPr>
              <w:t xml:space="preserve">3 </w:t>
            </w:r>
            <w:r>
              <w:rPr>
                <w:rFonts w:hint="eastAsia" w:ascii="宋体" w:hAnsi="宋体" w:eastAsia="宋体" w:cs="宋体"/>
                <w:color w:val="auto"/>
                <w:kern w:val="0"/>
                <w:sz w:val="20"/>
                <w:szCs w:val="20"/>
                <w:lang w:val="en-US" w:eastAsia="zh-CN" w:bidi="ar"/>
              </w:rPr>
              <w:t xml:space="preserve">个及以上的，招标人将按规定的程序进行第二个信封开标；在对第二个信封进行评审后，有效投标不足 </w:t>
            </w:r>
            <w:r>
              <w:rPr>
                <w:rFonts w:hint="default" w:ascii="Calibri" w:hAnsi="Calibri" w:eastAsia="宋体" w:cs="Calibri"/>
                <w:color w:val="auto"/>
                <w:kern w:val="0"/>
                <w:sz w:val="20"/>
                <w:szCs w:val="20"/>
                <w:lang w:val="en-US" w:eastAsia="zh-CN" w:bidi="ar"/>
              </w:rPr>
              <w:t xml:space="preserve">3 </w:t>
            </w:r>
            <w:r>
              <w:rPr>
                <w:rFonts w:hint="eastAsia" w:ascii="宋体" w:hAnsi="宋体" w:eastAsia="宋体" w:cs="宋体"/>
                <w:color w:val="auto"/>
                <w:kern w:val="0"/>
                <w:sz w:val="20"/>
                <w:szCs w:val="20"/>
                <w:lang w:val="en-US" w:eastAsia="zh-CN" w:bidi="ar"/>
              </w:rPr>
              <w:t xml:space="preserve">个使得投标明显缺乏竞争的，评标委员会可以否决这一标段的全部投标。评标委员会未否决全部投标的，应当在评标报告中阐明理由并推荐这一标段中标候选人。 </w:t>
            </w:r>
          </w:p>
          <w:p w14:paraId="11C3314E">
            <w:pPr>
              <w:keepNext w:val="0"/>
              <w:keepLines w:val="0"/>
              <w:widowControl/>
              <w:suppressLineNumbers w:val="0"/>
              <w:jc w:val="left"/>
              <w:rPr>
                <w:color w:val="auto"/>
              </w:rPr>
            </w:pPr>
            <w:r>
              <w:rPr>
                <w:rFonts w:hint="eastAsia" w:ascii="宋体" w:hAnsi="宋体" w:eastAsia="宋体" w:cs="宋体"/>
                <w:color w:val="auto"/>
                <w:kern w:val="0"/>
                <w:sz w:val="20"/>
                <w:szCs w:val="20"/>
                <w:lang w:val="en-US" w:eastAsia="zh-CN" w:bidi="ar"/>
              </w:rPr>
              <w:t xml:space="preserve">某一标段通过第一个信封评审且参与第二个信封开标的投标人少于 </w:t>
            </w:r>
            <w:r>
              <w:rPr>
                <w:rFonts w:hint="default" w:ascii="Calibri" w:hAnsi="Calibri" w:eastAsia="宋体" w:cs="Calibri"/>
                <w:color w:val="auto"/>
                <w:kern w:val="0"/>
                <w:sz w:val="20"/>
                <w:szCs w:val="20"/>
                <w:lang w:val="en-US" w:eastAsia="zh-CN" w:bidi="ar"/>
              </w:rPr>
              <w:t xml:space="preserve">3 </w:t>
            </w:r>
            <w:r>
              <w:rPr>
                <w:rFonts w:hint="eastAsia" w:ascii="宋体" w:hAnsi="宋体" w:eastAsia="宋体" w:cs="宋体"/>
                <w:color w:val="auto"/>
                <w:kern w:val="0"/>
                <w:sz w:val="20"/>
                <w:szCs w:val="20"/>
                <w:lang w:val="en-US" w:eastAsia="zh-CN" w:bidi="ar"/>
              </w:rPr>
              <w:t xml:space="preserve">个的，评标委员会可以否决这一标段全部投标；未否决这一标段全部投标的，评标委员会应当在评标报告中阐明理由，招标人将按规定的程序进行第二个信封（报价文件）开标，但评标委员会在进行第二个信封评审时仍有权否决这一标段全部投标；评标委员会未在第二个信封评审时否决全部投标的，应当在评标报告中阐明理由并推荐这一标段中标候选人。 </w:t>
            </w:r>
          </w:p>
          <w:p w14:paraId="4D5C96EE">
            <w:pPr>
              <w:keepNext w:val="0"/>
              <w:keepLines w:val="0"/>
              <w:widowControl/>
              <w:suppressLineNumbers w:val="0"/>
              <w:jc w:val="left"/>
              <w:rPr>
                <w:color w:val="auto"/>
              </w:rPr>
            </w:pPr>
            <w:r>
              <w:rPr>
                <w:rFonts w:hint="default" w:ascii="Calibri" w:hAnsi="Calibri" w:eastAsia="宋体" w:cs="Calibri"/>
                <w:color w:val="auto"/>
                <w:kern w:val="0"/>
                <w:sz w:val="20"/>
                <w:szCs w:val="20"/>
                <w:lang w:val="en-US" w:eastAsia="zh-CN" w:bidi="ar"/>
              </w:rPr>
              <w:t xml:space="preserve">1.7 </w:t>
            </w:r>
            <w:r>
              <w:rPr>
                <w:rFonts w:hint="eastAsia" w:ascii="宋体" w:hAnsi="宋体" w:eastAsia="宋体" w:cs="宋体"/>
                <w:color w:val="auto"/>
                <w:kern w:val="0"/>
                <w:sz w:val="20"/>
                <w:szCs w:val="20"/>
                <w:lang w:val="en-US" w:eastAsia="zh-CN" w:bidi="ar"/>
              </w:rPr>
              <w:t xml:space="preserve">评标委员会完成评标后，应当向招标人提交书面评标报告。评标报告由评标委员会全体成员签字。对评标结论持有异议的评标委员会成员可以书面方式阐述其不同意见和理由。评标委员会成员拒绝在评标报告上签字且不陈述其不同意见和理由的，视为同意评标结论。 </w:t>
            </w:r>
          </w:p>
          <w:p w14:paraId="6C2E3341">
            <w:pPr>
              <w:keepNext w:val="0"/>
              <w:keepLines w:val="0"/>
              <w:widowControl/>
              <w:suppressLineNumbers w:val="0"/>
              <w:jc w:val="left"/>
              <w:rPr>
                <w:color w:val="auto"/>
              </w:rPr>
            </w:pPr>
            <w:r>
              <w:rPr>
                <w:rFonts w:hint="default" w:ascii="Calibri" w:hAnsi="Calibri" w:eastAsia="宋体" w:cs="Calibri"/>
                <w:color w:val="auto"/>
                <w:kern w:val="0"/>
                <w:sz w:val="20"/>
                <w:szCs w:val="20"/>
                <w:lang w:val="en-US" w:eastAsia="zh-CN" w:bidi="ar"/>
              </w:rPr>
              <w:t>2</w:t>
            </w:r>
            <w:r>
              <w:rPr>
                <w:rFonts w:hint="eastAsia" w:ascii="宋体" w:hAnsi="宋体" w:eastAsia="宋体" w:cs="宋体"/>
                <w:color w:val="auto"/>
                <w:kern w:val="0"/>
                <w:sz w:val="20"/>
                <w:szCs w:val="20"/>
                <w:lang w:val="en-US" w:eastAsia="zh-CN" w:bidi="ar"/>
              </w:rPr>
              <w:t>、业绩：</w:t>
            </w:r>
            <w:r>
              <w:rPr>
                <w:rFonts w:hint="default" w:ascii="Calibri" w:hAnsi="Calibri" w:eastAsia="宋体" w:cs="Calibri"/>
                <w:color w:val="auto"/>
                <w:kern w:val="0"/>
                <w:sz w:val="20"/>
                <w:szCs w:val="20"/>
                <w:lang w:val="en-US" w:eastAsia="zh-CN" w:bidi="ar"/>
              </w:rPr>
              <w:t>①</w:t>
            </w:r>
            <w:r>
              <w:rPr>
                <w:rFonts w:hint="eastAsia" w:ascii="宋体" w:hAnsi="宋体" w:eastAsia="宋体" w:cs="宋体"/>
                <w:color w:val="auto"/>
                <w:kern w:val="0"/>
                <w:sz w:val="20"/>
                <w:szCs w:val="20"/>
                <w:lang w:val="en-US" w:eastAsia="zh-CN" w:bidi="ar"/>
              </w:rPr>
              <w:t>证明材料应体现业绩的考核指标（交竣 （工）年份、项目类型、合同内容、合同金额、合同规模等）。证明材料中的信息无法证实业绩的考核指标，则该项目业绩在评审时不予认定。</w:t>
            </w:r>
            <w:r>
              <w:rPr>
                <w:rFonts w:hint="default" w:ascii="Calibri" w:hAnsi="Calibri" w:eastAsia="宋体" w:cs="Calibri"/>
                <w:color w:val="auto"/>
                <w:kern w:val="0"/>
                <w:sz w:val="20"/>
                <w:szCs w:val="20"/>
                <w:lang w:val="en-US" w:eastAsia="zh-CN" w:bidi="ar"/>
              </w:rPr>
              <w:t xml:space="preserve">② </w:t>
            </w:r>
            <w:r>
              <w:rPr>
                <w:rFonts w:hint="eastAsia" w:ascii="宋体" w:hAnsi="宋体" w:eastAsia="宋体" w:cs="宋体"/>
                <w:color w:val="auto"/>
                <w:kern w:val="0"/>
                <w:sz w:val="20"/>
                <w:szCs w:val="20"/>
                <w:lang w:val="en-US" w:eastAsia="zh-CN" w:bidi="ar"/>
              </w:rPr>
              <w:t>业绩应从</w:t>
            </w:r>
            <w:r>
              <w:rPr>
                <w:rFonts w:hint="default" w:ascii="Calibri" w:hAnsi="Calibri" w:eastAsia="宋体" w:cs="Calibri"/>
                <w:color w:val="auto"/>
                <w:kern w:val="0"/>
                <w:sz w:val="20"/>
                <w:szCs w:val="20"/>
                <w:lang w:val="en-US" w:eastAsia="zh-CN" w:bidi="ar"/>
              </w:rPr>
              <w:t>“</w:t>
            </w:r>
            <w:r>
              <w:rPr>
                <w:rFonts w:hint="eastAsia" w:ascii="宋体" w:hAnsi="宋体" w:eastAsia="宋体" w:cs="宋体"/>
                <w:color w:val="auto"/>
                <w:kern w:val="0"/>
                <w:sz w:val="20"/>
                <w:szCs w:val="20"/>
                <w:lang w:val="en-US" w:eastAsia="zh-CN" w:bidi="ar"/>
              </w:rPr>
              <w:t>辽宁省公共资源交易平台主体交易库</w:t>
            </w:r>
            <w:r>
              <w:rPr>
                <w:rFonts w:hint="default" w:ascii="Calibri" w:hAnsi="Calibri" w:eastAsia="宋体" w:cs="Calibri"/>
                <w:color w:val="auto"/>
                <w:kern w:val="0"/>
                <w:sz w:val="20"/>
                <w:szCs w:val="20"/>
                <w:lang w:val="en-US" w:eastAsia="zh-CN" w:bidi="ar"/>
              </w:rPr>
              <w:t>”</w:t>
            </w:r>
            <w:r>
              <w:rPr>
                <w:rFonts w:hint="eastAsia" w:ascii="宋体" w:hAnsi="宋体" w:eastAsia="宋体" w:cs="宋体"/>
                <w:color w:val="auto"/>
                <w:kern w:val="0"/>
                <w:sz w:val="20"/>
                <w:szCs w:val="20"/>
                <w:lang w:val="en-US" w:eastAsia="zh-CN" w:bidi="ar"/>
              </w:rPr>
              <w:t>中选取后关联至投标文件中，作为业绩的证明材料。投标人应在</w:t>
            </w:r>
            <w:r>
              <w:rPr>
                <w:rFonts w:hint="default" w:ascii="Calibri" w:hAnsi="Calibri" w:eastAsia="宋体" w:cs="Calibri"/>
                <w:color w:val="auto"/>
                <w:kern w:val="0"/>
                <w:sz w:val="20"/>
                <w:szCs w:val="20"/>
                <w:lang w:val="en-US" w:eastAsia="zh-CN" w:bidi="ar"/>
              </w:rPr>
              <w:t>“</w:t>
            </w:r>
            <w:r>
              <w:rPr>
                <w:rFonts w:hint="eastAsia" w:ascii="宋体" w:hAnsi="宋体" w:eastAsia="宋体" w:cs="宋体"/>
                <w:color w:val="auto"/>
                <w:kern w:val="0"/>
                <w:sz w:val="20"/>
                <w:szCs w:val="20"/>
                <w:lang w:val="en-US" w:eastAsia="zh-CN" w:bidi="ar"/>
              </w:rPr>
              <w:t>辽宁省公共资源交易一张网电子化平台</w:t>
            </w:r>
            <w:r>
              <w:rPr>
                <w:rFonts w:hint="default" w:ascii="Calibri" w:hAnsi="Calibri" w:eastAsia="宋体" w:cs="Calibri"/>
                <w:color w:val="auto"/>
                <w:kern w:val="0"/>
                <w:sz w:val="20"/>
                <w:szCs w:val="20"/>
                <w:lang w:val="en-US" w:eastAsia="zh-CN" w:bidi="ar"/>
              </w:rPr>
              <w:t>”</w:t>
            </w:r>
            <w:r>
              <w:rPr>
                <w:rFonts w:hint="eastAsia" w:ascii="宋体" w:hAnsi="宋体" w:eastAsia="宋体" w:cs="宋体"/>
                <w:color w:val="auto"/>
                <w:kern w:val="0"/>
                <w:sz w:val="20"/>
                <w:szCs w:val="20"/>
                <w:lang w:val="en-US" w:eastAsia="zh-CN" w:bidi="ar"/>
              </w:rPr>
              <w:t>会员诚信库中选择并进行超链接。</w:t>
            </w:r>
            <w:r>
              <w:rPr>
                <w:rFonts w:hint="default" w:ascii="Calibri" w:hAnsi="Calibri" w:eastAsia="宋体" w:cs="Calibri"/>
                <w:color w:val="auto"/>
                <w:kern w:val="0"/>
                <w:sz w:val="20"/>
                <w:szCs w:val="20"/>
                <w:lang w:val="en-US" w:eastAsia="zh-CN" w:bidi="ar"/>
              </w:rPr>
              <w:t>“</w:t>
            </w:r>
            <w:r>
              <w:rPr>
                <w:rFonts w:hint="eastAsia" w:ascii="宋体" w:hAnsi="宋体" w:eastAsia="宋体" w:cs="宋体"/>
                <w:color w:val="auto"/>
                <w:kern w:val="0"/>
                <w:sz w:val="20"/>
                <w:szCs w:val="20"/>
                <w:lang w:val="en-US" w:eastAsia="zh-CN" w:bidi="ar"/>
              </w:rPr>
              <w:t>投标人应在</w:t>
            </w:r>
            <w:r>
              <w:rPr>
                <w:rFonts w:hint="default" w:ascii="Calibri" w:hAnsi="Calibri" w:eastAsia="宋体" w:cs="Calibri"/>
                <w:color w:val="auto"/>
                <w:kern w:val="0"/>
                <w:sz w:val="20"/>
                <w:szCs w:val="20"/>
                <w:lang w:val="en-US" w:eastAsia="zh-CN" w:bidi="ar"/>
              </w:rPr>
              <w:t>“</w:t>
            </w:r>
            <w:r>
              <w:rPr>
                <w:rFonts w:hint="eastAsia" w:ascii="宋体" w:hAnsi="宋体" w:eastAsia="宋体" w:cs="宋体"/>
                <w:color w:val="auto"/>
                <w:kern w:val="0"/>
                <w:sz w:val="20"/>
                <w:szCs w:val="20"/>
                <w:lang w:val="en-US" w:eastAsia="zh-CN" w:bidi="ar"/>
              </w:rPr>
              <w:t>辽宁省公共资源交易一张网电子化平台</w:t>
            </w:r>
            <w:r>
              <w:rPr>
                <w:rFonts w:hint="default" w:ascii="Calibri" w:hAnsi="Calibri" w:eastAsia="宋体" w:cs="Calibri"/>
                <w:color w:val="auto"/>
                <w:kern w:val="0"/>
                <w:sz w:val="20"/>
                <w:szCs w:val="20"/>
                <w:lang w:val="en-US" w:eastAsia="zh-CN" w:bidi="ar"/>
              </w:rPr>
              <w:t>”</w:t>
            </w:r>
            <w:r>
              <w:rPr>
                <w:rFonts w:hint="eastAsia" w:ascii="宋体" w:hAnsi="宋体" w:eastAsia="宋体" w:cs="宋体"/>
                <w:color w:val="auto"/>
                <w:kern w:val="0"/>
                <w:sz w:val="20"/>
                <w:szCs w:val="20"/>
                <w:lang w:val="en-US" w:eastAsia="zh-CN" w:bidi="ar"/>
              </w:rPr>
              <w:t>中建立信用信息档案，并对在系统中所填报内容的真实性、准确性和完整性负责。投标人需要在</w:t>
            </w:r>
            <w:r>
              <w:rPr>
                <w:rFonts w:hint="default" w:ascii="Calibri" w:hAnsi="Calibri" w:eastAsia="宋体" w:cs="Calibri"/>
                <w:color w:val="auto"/>
                <w:kern w:val="0"/>
                <w:sz w:val="20"/>
                <w:szCs w:val="20"/>
                <w:lang w:val="en-US" w:eastAsia="zh-CN" w:bidi="ar"/>
              </w:rPr>
              <w:t>“</w:t>
            </w:r>
            <w:r>
              <w:rPr>
                <w:rFonts w:hint="eastAsia" w:ascii="宋体" w:hAnsi="宋体" w:eastAsia="宋体" w:cs="宋体"/>
                <w:color w:val="auto"/>
                <w:kern w:val="0"/>
                <w:sz w:val="20"/>
                <w:szCs w:val="20"/>
                <w:lang w:val="en-US" w:eastAsia="zh-CN" w:bidi="ar"/>
              </w:rPr>
              <w:t>辽宁省公共资源交易一张网电子化平台</w:t>
            </w:r>
            <w:r>
              <w:rPr>
                <w:rFonts w:hint="default" w:ascii="Calibri" w:hAnsi="Calibri" w:eastAsia="宋体" w:cs="Calibri"/>
                <w:color w:val="auto"/>
                <w:kern w:val="0"/>
                <w:sz w:val="20"/>
                <w:szCs w:val="20"/>
                <w:lang w:val="en-US" w:eastAsia="zh-CN" w:bidi="ar"/>
              </w:rPr>
              <w:t>”</w:t>
            </w:r>
            <w:r>
              <w:rPr>
                <w:rFonts w:hint="eastAsia" w:ascii="宋体" w:hAnsi="宋体" w:eastAsia="宋体" w:cs="宋体"/>
                <w:color w:val="auto"/>
                <w:kern w:val="0"/>
                <w:sz w:val="20"/>
                <w:szCs w:val="20"/>
                <w:lang w:val="en-US" w:eastAsia="zh-CN" w:bidi="ar"/>
              </w:rPr>
              <w:t>中备案或更新的内容，应在投标文件递交截止时间之前完成备案或更新，未录入、更新至</w:t>
            </w:r>
            <w:r>
              <w:rPr>
                <w:rFonts w:hint="default" w:ascii="Calibri" w:hAnsi="Calibri" w:eastAsia="宋体" w:cs="Calibri"/>
                <w:color w:val="auto"/>
                <w:kern w:val="0"/>
                <w:sz w:val="20"/>
                <w:szCs w:val="20"/>
                <w:lang w:val="en-US" w:eastAsia="zh-CN" w:bidi="ar"/>
              </w:rPr>
              <w:t>“</w:t>
            </w:r>
            <w:r>
              <w:rPr>
                <w:rFonts w:hint="eastAsia" w:ascii="宋体" w:hAnsi="宋体" w:eastAsia="宋体" w:cs="宋体"/>
                <w:color w:val="auto"/>
                <w:kern w:val="0"/>
                <w:sz w:val="20"/>
                <w:szCs w:val="20"/>
                <w:lang w:val="en-US" w:eastAsia="zh-CN" w:bidi="ar"/>
              </w:rPr>
              <w:t>辽宁省公共资源交易一张网电子化平台</w:t>
            </w:r>
            <w:r>
              <w:rPr>
                <w:rFonts w:hint="default" w:ascii="Calibri" w:hAnsi="Calibri" w:eastAsia="宋体" w:cs="Calibri"/>
                <w:color w:val="auto"/>
                <w:kern w:val="0"/>
                <w:sz w:val="20"/>
                <w:szCs w:val="20"/>
                <w:lang w:val="en-US" w:eastAsia="zh-CN" w:bidi="ar"/>
              </w:rPr>
              <w:t>”</w:t>
            </w:r>
            <w:r>
              <w:rPr>
                <w:rFonts w:hint="eastAsia" w:ascii="宋体" w:hAnsi="宋体" w:eastAsia="宋体" w:cs="宋体"/>
                <w:color w:val="auto"/>
                <w:kern w:val="0"/>
                <w:sz w:val="20"/>
                <w:szCs w:val="20"/>
                <w:lang w:val="en-US" w:eastAsia="zh-CN" w:bidi="ar"/>
              </w:rPr>
              <w:t>的信息数据或已录入、更新至</w:t>
            </w:r>
            <w:r>
              <w:rPr>
                <w:rFonts w:hint="default" w:ascii="Calibri" w:hAnsi="Calibri" w:eastAsia="宋体" w:cs="Calibri"/>
                <w:color w:val="auto"/>
                <w:kern w:val="0"/>
                <w:sz w:val="20"/>
                <w:szCs w:val="20"/>
                <w:lang w:val="en-US" w:eastAsia="zh-CN" w:bidi="ar"/>
              </w:rPr>
              <w:t>“</w:t>
            </w:r>
            <w:r>
              <w:rPr>
                <w:rFonts w:hint="eastAsia" w:ascii="宋体" w:hAnsi="宋体" w:eastAsia="宋体" w:cs="宋体"/>
                <w:color w:val="auto"/>
                <w:kern w:val="0"/>
                <w:sz w:val="20"/>
                <w:szCs w:val="20"/>
                <w:lang w:val="en-US" w:eastAsia="zh-CN" w:bidi="ar"/>
              </w:rPr>
              <w:t>辽宁省公共资源交易一张网电子化平台</w:t>
            </w:r>
            <w:r>
              <w:rPr>
                <w:rFonts w:hint="default" w:ascii="Calibri" w:hAnsi="Calibri" w:eastAsia="宋体" w:cs="Calibri"/>
                <w:color w:val="auto"/>
                <w:kern w:val="0"/>
                <w:sz w:val="20"/>
                <w:szCs w:val="20"/>
                <w:lang w:val="en-US" w:eastAsia="zh-CN" w:bidi="ar"/>
              </w:rPr>
              <w:t>”</w:t>
            </w:r>
            <w:r>
              <w:rPr>
                <w:rFonts w:hint="eastAsia" w:ascii="宋体" w:hAnsi="宋体" w:eastAsia="宋体" w:cs="宋体"/>
                <w:color w:val="auto"/>
                <w:kern w:val="0"/>
                <w:sz w:val="20"/>
                <w:szCs w:val="20"/>
                <w:lang w:val="en-US" w:eastAsia="zh-CN" w:bidi="ar"/>
              </w:rPr>
              <w:t>中但</w:t>
            </w:r>
            <w:r>
              <w:rPr>
                <w:rFonts w:hint="default" w:ascii="Calibri" w:hAnsi="Calibri" w:eastAsia="宋体" w:cs="Calibri"/>
                <w:color w:val="auto"/>
                <w:kern w:val="0"/>
                <w:sz w:val="20"/>
                <w:szCs w:val="20"/>
                <w:lang w:val="en-US" w:eastAsia="zh-CN" w:bidi="ar"/>
              </w:rPr>
              <w:t>“</w:t>
            </w:r>
            <w:r>
              <w:rPr>
                <w:rFonts w:hint="eastAsia" w:ascii="宋体" w:hAnsi="宋体" w:eastAsia="宋体" w:cs="宋体"/>
                <w:color w:val="auto"/>
                <w:kern w:val="0"/>
                <w:sz w:val="20"/>
                <w:szCs w:val="20"/>
                <w:lang w:val="en-US" w:eastAsia="zh-CN" w:bidi="ar"/>
              </w:rPr>
              <w:t>投标文件</w:t>
            </w:r>
            <w:r>
              <w:rPr>
                <w:rFonts w:hint="default" w:ascii="Calibri" w:hAnsi="Calibri" w:eastAsia="宋体" w:cs="Calibri"/>
                <w:color w:val="auto"/>
                <w:kern w:val="0"/>
                <w:sz w:val="20"/>
                <w:szCs w:val="20"/>
                <w:lang w:val="en-US" w:eastAsia="zh-CN" w:bidi="ar"/>
              </w:rPr>
              <w:t>”</w:t>
            </w:r>
            <w:r>
              <w:rPr>
                <w:rFonts w:hint="eastAsia" w:ascii="宋体" w:hAnsi="宋体" w:eastAsia="宋体" w:cs="宋体"/>
                <w:color w:val="auto"/>
                <w:kern w:val="0"/>
                <w:sz w:val="20"/>
                <w:szCs w:val="20"/>
                <w:lang w:val="en-US" w:eastAsia="zh-CN" w:bidi="ar"/>
              </w:rPr>
              <w:t>中未填报的内容，均不予认可，投标文件中证明资料的</w:t>
            </w:r>
            <w:r>
              <w:rPr>
                <w:rFonts w:hint="default" w:ascii="Calibri" w:hAnsi="Calibri" w:eastAsia="宋体" w:cs="Calibri"/>
                <w:color w:val="auto"/>
                <w:kern w:val="0"/>
                <w:sz w:val="20"/>
                <w:szCs w:val="20"/>
                <w:lang w:val="en-US" w:eastAsia="zh-CN" w:bidi="ar"/>
              </w:rPr>
              <w:t>“</w:t>
            </w:r>
            <w:r>
              <w:rPr>
                <w:rFonts w:hint="eastAsia" w:ascii="宋体" w:hAnsi="宋体" w:eastAsia="宋体" w:cs="宋体"/>
                <w:color w:val="auto"/>
                <w:kern w:val="0"/>
                <w:sz w:val="20"/>
                <w:szCs w:val="20"/>
                <w:lang w:val="en-US" w:eastAsia="zh-CN" w:bidi="ar"/>
              </w:rPr>
              <w:t>原件扫描件</w:t>
            </w:r>
            <w:r>
              <w:rPr>
                <w:rFonts w:hint="default" w:ascii="Calibri" w:hAnsi="Calibri" w:eastAsia="宋体" w:cs="Calibri"/>
                <w:color w:val="auto"/>
                <w:kern w:val="0"/>
                <w:sz w:val="20"/>
                <w:szCs w:val="20"/>
                <w:lang w:val="en-US" w:eastAsia="zh-CN" w:bidi="ar"/>
              </w:rPr>
              <w:t>”</w:t>
            </w:r>
            <w:r>
              <w:rPr>
                <w:rFonts w:hint="eastAsia" w:ascii="宋体" w:hAnsi="宋体" w:eastAsia="宋体" w:cs="宋体"/>
                <w:color w:val="auto"/>
                <w:kern w:val="0"/>
                <w:sz w:val="20"/>
                <w:szCs w:val="20"/>
                <w:lang w:val="en-US" w:eastAsia="zh-CN" w:bidi="ar"/>
              </w:rPr>
              <w:t>应从</w:t>
            </w:r>
            <w:r>
              <w:rPr>
                <w:rFonts w:hint="default" w:ascii="Calibri" w:hAnsi="Calibri" w:eastAsia="宋体" w:cs="Calibri"/>
                <w:color w:val="auto"/>
                <w:kern w:val="0"/>
                <w:sz w:val="20"/>
                <w:szCs w:val="20"/>
                <w:lang w:val="en-US" w:eastAsia="zh-CN" w:bidi="ar"/>
              </w:rPr>
              <w:t>“</w:t>
            </w:r>
            <w:r>
              <w:rPr>
                <w:rFonts w:hint="eastAsia" w:ascii="宋体" w:hAnsi="宋体" w:eastAsia="宋体" w:cs="宋体"/>
                <w:color w:val="auto"/>
                <w:kern w:val="0"/>
                <w:sz w:val="20"/>
                <w:szCs w:val="20"/>
                <w:lang w:val="en-US" w:eastAsia="zh-CN" w:bidi="ar"/>
              </w:rPr>
              <w:t>电子交易平台</w:t>
            </w:r>
            <w:r>
              <w:rPr>
                <w:rFonts w:hint="default" w:ascii="Calibri" w:hAnsi="Calibri" w:eastAsia="宋体" w:cs="Calibri"/>
                <w:color w:val="auto"/>
                <w:kern w:val="0"/>
                <w:sz w:val="20"/>
                <w:szCs w:val="20"/>
                <w:lang w:val="en-US" w:eastAsia="zh-CN" w:bidi="ar"/>
              </w:rPr>
              <w:t>”</w:t>
            </w:r>
            <w:r>
              <w:rPr>
                <w:rFonts w:hint="eastAsia" w:ascii="宋体" w:hAnsi="宋体" w:eastAsia="宋体" w:cs="宋体"/>
                <w:color w:val="auto"/>
                <w:kern w:val="0"/>
                <w:sz w:val="20"/>
                <w:szCs w:val="20"/>
                <w:lang w:val="en-US" w:eastAsia="zh-CN" w:bidi="ar"/>
              </w:rPr>
              <w:t>会员诚信库中选择并进行超链接，除投标人须知前附表另有规定外招标人不再接受投标人提交相关证明原件作为替代或补充。</w:t>
            </w:r>
            <w:r>
              <w:rPr>
                <w:rFonts w:hint="default" w:ascii="Calibri" w:hAnsi="Calibri" w:eastAsia="宋体" w:cs="Calibri"/>
                <w:color w:val="auto"/>
                <w:kern w:val="0"/>
                <w:sz w:val="20"/>
                <w:szCs w:val="20"/>
                <w:lang w:val="en-US" w:eastAsia="zh-CN" w:bidi="ar"/>
              </w:rPr>
              <w:t>③</w:t>
            </w:r>
            <w:r>
              <w:rPr>
                <w:rFonts w:hint="eastAsia" w:ascii="宋体" w:hAnsi="宋体" w:eastAsia="宋体" w:cs="宋体"/>
                <w:color w:val="auto"/>
                <w:kern w:val="0"/>
                <w:sz w:val="20"/>
                <w:szCs w:val="20"/>
                <w:lang w:val="en-US" w:eastAsia="zh-CN" w:bidi="ar"/>
              </w:rPr>
              <w:t>关于业绩的说明：以上合同金额是指在</w:t>
            </w:r>
            <w:r>
              <w:rPr>
                <w:rFonts w:hint="default" w:ascii="Calibri" w:hAnsi="Calibri" w:eastAsia="宋体" w:cs="Calibri"/>
                <w:color w:val="auto"/>
                <w:kern w:val="0"/>
                <w:sz w:val="20"/>
                <w:szCs w:val="20"/>
                <w:lang w:val="en-US" w:eastAsia="zh-CN" w:bidi="ar"/>
              </w:rPr>
              <w:t>“</w:t>
            </w:r>
            <w:r>
              <w:rPr>
                <w:rFonts w:hint="eastAsia" w:ascii="宋体" w:hAnsi="宋体" w:eastAsia="宋体" w:cs="宋体"/>
                <w:color w:val="auto"/>
                <w:kern w:val="0"/>
                <w:sz w:val="20"/>
                <w:szCs w:val="20"/>
                <w:lang w:val="en-US" w:eastAsia="zh-CN" w:bidi="ar"/>
              </w:rPr>
              <w:t>辽宁省公共资源交易一张网电子化平台</w:t>
            </w:r>
            <w:r>
              <w:rPr>
                <w:rFonts w:hint="default" w:ascii="Calibri" w:hAnsi="Calibri" w:eastAsia="宋体" w:cs="Calibri"/>
                <w:color w:val="auto"/>
                <w:kern w:val="0"/>
                <w:sz w:val="20"/>
                <w:szCs w:val="20"/>
                <w:lang w:val="en-US" w:eastAsia="zh-CN" w:bidi="ar"/>
              </w:rPr>
              <w:t>”</w:t>
            </w:r>
            <w:r>
              <w:rPr>
                <w:rFonts w:hint="eastAsia" w:ascii="宋体" w:hAnsi="宋体" w:eastAsia="宋体" w:cs="宋体"/>
                <w:color w:val="auto"/>
                <w:kern w:val="0"/>
                <w:sz w:val="20"/>
                <w:szCs w:val="20"/>
                <w:lang w:val="en-US" w:eastAsia="zh-CN" w:bidi="ar"/>
              </w:rPr>
              <w:t xml:space="preserve">中载明的金额，如有结算价，以结算价为准。 </w:t>
            </w:r>
          </w:p>
          <w:p w14:paraId="580DFE07">
            <w:pPr>
              <w:keepNext w:val="0"/>
              <w:keepLines w:val="0"/>
              <w:widowControl/>
              <w:suppressLineNumbers w:val="0"/>
              <w:jc w:val="left"/>
              <w:rPr>
                <w:color w:val="auto"/>
              </w:rPr>
            </w:pPr>
            <w:r>
              <w:rPr>
                <w:rFonts w:hint="default" w:ascii="Calibri" w:hAnsi="Calibri" w:eastAsia="宋体" w:cs="Calibri"/>
                <w:color w:val="auto"/>
                <w:kern w:val="0"/>
                <w:sz w:val="20"/>
                <w:szCs w:val="20"/>
                <w:lang w:val="en-US" w:eastAsia="zh-CN" w:bidi="ar"/>
              </w:rPr>
              <w:t>④</w:t>
            </w:r>
            <w:r>
              <w:rPr>
                <w:rFonts w:hint="eastAsia" w:ascii="宋体" w:hAnsi="宋体" w:eastAsia="宋体" w:cs="宋体"/>
                <w:color w:val="auto"/>
                <w:kern w:val="0"/>
                <w:sz w:val="20"/>
                <w:szCs w:val="20"/>
                <w:lang w:val="en-US" w:eastAsia="zh-CN" w:bidi="ar"/>
              </w:rPr>
              <w:t xml:space="preserve">如近年来，投标人法人机构发生变更或重组或法人名称变更时，应提供相关部门的合法批件或其他相关证明材料来证明其所附业绩的继承性。 </w:t>
            </w:r>
          </w:p>
          <w:p w14:paraId="2FE34F90">
            <w:pPr>
              <w:keepNext w:val="0"/>
              <w:keepLines w:val="0"/>
              <w:widowControl/>
              <w:suppressLineNumbers w:val="0"/>
              <w:jc w:val="left"/>
              <w:rPr>
                <w:color w:val="auto"/>
              </w:rPr>
            </w:pPr>
            <w:r>
              <w:rPr>
                <w:rFonts w:hint="default" w:ascii="Calibri" w:hAnsi="Calibri" w:eastAsia="宋体" w:cs="Calibri"/>
                <w:color w:val="auto"/>
                <w:kern w:val="0"/>
                <w:sz w:val="20"/>
                <w:szCs w:val="20"/>
                <w:lang w:val="en-US" w:eastAsia="zh-CN" w:bidi="ar"/>
              </w:rPr>
              <w:t>3</w:t>
            </w:r>
            <w:r>
              <w:rPr>
                <w:rFonts w:hint="eastAsia" w:ascii="宋体" w:hAnsi="宋体" w:eastAsia="宋体" w:cs="宋体"/>
                <w:color w:val="auto"/>
                <w:kern w:val="0"/>
                <w:sz w:val="20"/>
                <w:szCs w:val="20"/>
                <w:lang w:val="en-US" w:eastAsia="zh-CN" w:bidi="ar"/>
              </w:rPr>
              <w:t xml:space="preserve">、废标条款： </w:t>
            </w:r>
          </w:p>
          <w:p w14:paraId="0ADCF37E">
            <w:pPr>
              <w:keepNext w:val="0"/>
              <w:keepLines w:val="0"/>
              <w:widowControl/>
              <w:suppressLineNumbers w:val="0"/>
              <w:jc w:val="left"/>
              <w:rPr>
                <w:color w:val="auto"/>
              </w:rPr>
            </w:pPr>
            <w:r>
              <w:rPr>
                <w:rFonts w:hint="eastAsia" w:ascii="宋体" w:hAnsi="宋体" w:eastAsia="宋体" w:cs="宋体"/>
                <w:color w:val="auto"/>
                <w:kern w:val="0"/>
                <w:sz w:val="20"/>
                <w:szCs w:val="20"/>
                <w:lang w:val="en-US" w:eastAsia="zh-CN" w:bidi="ar"/>
              </w:rPr>
              <w:t>（</w:t>
            </w:r>
            <w:r>
              <w:rPr>
                <w:rFonts w:hint="default" w:ascii="Calibri" w:hAnsi="Calibri" w:eastAsia="宋体" w:cs="Calibri"/>
                <w:color w:val="auto"/>
                <w:kern w:val="0"/>
                <w:sz w:val="20"/>
                <w:szCs w:val="20"/>
                <w:lang w:val="en-US" w:eastAsia="zh-CN" w:bidi="ar"/>
              </w:rPr>
              <w:t>1</w:t>
            </w:r>
            <w:r>
              <w:rPr>
                <w:rFonts w:hint="eastAsia" w:ascii="宋体" w:hAnsi="宋体" w:eastAsia="宋体" w:cs="宋体"/>
                <w:color w:val="auto"/>
                <w:kern w:val="0"/>
                <w:sz w:val="20"/>
                <w:szCs w:val="20"/>
                <w:lang w:val="en-US" w:eastAsia="zh-CN" w:bidi="ar"/>
              </w:rPr>
              <w:t xml:space="preserve">）在形式评审与响应性评审、资格评审中，评标委员会认定投标人的投标不符合评标办法前 </w:t>
            </w:r>
          </w:p>
          <w:p w14:paraId="31040C3A">
            <w:pPr>
              <w:keepNext w:val="0"/>
              <w:keepLines w:val="0"/>
              <w:widowControl/>
              <w:suppressLineNumbers w:val="0"/>
              <w:jc w:val="left"/>
              <w:rPr>
                <w:color w:val="auto"/>
              </w:rPr>
            </w:pPr>
            <w:r>
              <w:rPr>
                <w:rFonts w:hint="eastAsia" w:ascii="宋体" w:hAnsi="宋体" w:eastAsia="宋体" w:cs="宋体"/>
                <w:color w:val="auto"/>
                <w:kern w:val="0"/>
                <w:sz w:val="20"/>
                <w:szCs w:val="20"/>
                <w:lang w:val="en-US" w:eastAsia="zh-CN" w:bidi="ar"/>
              </w:rPr>
              <w:t xml:space="preserve">附表中规定的任何一项评审标准的； </w:t>
            </w:r>
          </w:p>
          <w:p w14:paraId="1215ADFB">
            <w:pPr>
              <w:keepNext w:val="0"/>
              <w:keepLines w:val="0"/>
              <w:widowControl/>
              <w:suppressLineNumbers w:val="0"/>
              <w:jc w:val="left"/>
              <w:rPr>
                <w:color w:val="auto"/>
              </w:rPr>
            </w:pPr>
            <w:r>
              <w:rPr>
                <w:rFonts w:hint="eastAsia" w:ascii="宋体" w:hAnsi="宋体" w:eastAsia="宋体" w:cs="宋体"/>
                <w:color w:val="auto"/>
                <w:kern w:val="0"/>
                <w:sz w:val="20"/>
                <w:szCs w:val="20"/>
                <w:lang w:val="en-US" w:eastAsia="zh-CN" w:bidi="ar"/>
              </w:rPr>
              <w:t>（</w:t>
            </w:r>
            <w:r>
              <w:rPr>
                <w:rFonts w:hint="default" w:ascii="Calibri" w:hAnsi="Calibri" w:eastAsia="宋体" w:cs="Calibri"/>
                <w:color w:val="auto"/>
                <w:kern w:val="0"/>
                <w:sz w:val="20"/>
                <w:szCs w:val="20"/>
                <w:lang w:val="en-US" w:eastAsia="zh-CN" w:bidi="ar"/>
              </w:rPr>
              <w:t>2</w:t>
            </w:r>
            <w:r>
              <w:rPr>
                <w:rFonts w:hint="eastAsia" w:ascii="宋体" w:hAnsi="宋体" w:eastAsia="宋体" w:cs="宋体"/>
                <w:color w:val="auto"/>
                <w:kern w:val="0"/>
                <w:sz w:val="20"/>
                <w:szCs w:val="20"/>
                <w:lang w:val="en-US" w:eastAsia="zh-CN" w:bidi="ar"/>
              </w:rPr>
              <w:t xml:space="preserve">）评标委员会认定投标人以低于成本报价竞标的； </w:t>
            </w:r>
          </w:p>
          <w:p w14:paraId="718138FD">
            <w:pPr>
              <w:keepNext w:val="0"/>
              <w:keepLines w:val="0"/>
              <w:widowControl/>
              <w:suppressLineNumbers w:val="0"/>
              <w:jc w:val="left"/>
              <w:rPr>
                <w:color w:val="auto"/>
              </w:rPr>
            </w:pPr>
            <w:r>
              <w:rPr>
                <w:rFonts w:hint="eastAsia" w:ascii="宋体" w:hAnsi="宋体" w:eastAsia="宋体" w:cs="宋体"/>
                <w:color w:val="auto"/>
                <w:kern w:val="0"/>
                <w:sz w:val="20"/>
                <w:szCs w:val="20"/>
                <w:lang w:val="en-US" w:eastAsia="zh-CN" w:bidi="ar"/>
              </w:rPr>
              <w:t>（</w:t>
            </w:r>
            <w:r>
              <w:rPr>
                <w:rFonts w:hint="default" w:ascii="Calibri" w:hAnsi="Calibri" w:eastAsia="宋体" w:cs="Calibri"/>
                <w:color w:val="auto"/>
                <w:kern w:val="0"/>
                <w:sz w:val="20"/>
                <w:szCs w:val="20"/>
                <w:lang w:val="en-US" w:eastAsia="zh-CN" w:bidi="ar"/>
              </w:rPr>
              <w:t>3</w:t>
            </w:r>
            <w:r>
              <w:rPr>
                <w:rFonts w:hint="eastAsia" w:ascii="宋体" w:hAnsi="宋体" w:eastAsia="宋体" w:cs="宋体"/>
                <w:color w:val="auto"/>
                <w:kern w:val="0"/>
                <w:sz w:val="20"/>
                <w:szCs w:val="20"/>
                <w:lang w:val="en-US" w:eastAsia="zh-CN" w:bidi="ar"/>
              </w:rPr>
              <w:t xml:space="preserve">）与其他投标人的投标文件分部、分项报价错漏一致，且没有合理解释的； </w:t>
            </w:r>
          </w:p>
          <w:p w14:paraId="44E4771E">
            <w:pPr>
              <w:keepNext w:val="0"/>
              <w:keepLines w:val="0"/>
              <w:widowControl/>
              <w:suppressLineNumbers w:val="0"/>
              <w:jc w:val="left"/>
              <w:rPr>
                <w:color w:val="auto"/>
              </w:rPr>
            </w:pPr>
            <w:r>
              <w:rPr>
                <w:rFonts w:hint="eastAsia" w:ascii="宋体" w:hAnsi="宋体" w:eastAsia="宋体" w:cs="宋体"/>
                <w:color w:val="auto"/>
                <w:kern w:val="0"/>
                <w:sz w:val="20"/>
                <w:szCs w:val="20"/>
                <w:lang w:val="en-US" w:eastAsia="zh-CN" w:bidi="ar"/>
              </w:rPr>
              <w:t>（</w:t>
            </w:r>
            <w:r>
              <w:rPr>
                <w:rFonts w:hint="default" w:ascii="Calibri" w:hAnsi="Calibri" w:eastAsia="宋体" w:cs="Calibri"/>
                <w:color w:val="auto"/>
                <w:kern w:val="0"/>
                <w:sz w:val="20"/>
                <w:szCs w:val="20"/>
                <w:lang w:val="en-US" w:eastAsia="zh-CN" w:bidi="ar"/>
              </w:rPr>
              <w:t>4</w:t>
            </w:r>
            <w:r>
              <w:rPr>
                <w:rFonts w:hint="eastAsia" w:ascii="宋体" w:hAnsi="宋体" w:eastAsia="宋体" w:cs="宋体"/>
                <w:color w:val="auto"/>
                <w:kern w:val="0"/>
                <w:sz w:val="20"/>
                <w:szCs w:val="20"/>
                <w:lang w:val="en-US" w:eastAsia="zh-CN" w:bidi="ar"/>
              </w:rPr>
              <w:t xml:space="preserve">）与其他投标人的投标文件存在不应有的雷同； </w:t>
            </w:r>
          </w:p>
          <w:p w14:paraId="6B01BA69">
            <w:pPr>
              <w:keepNext w:val="0"/>
              <w:keepLines w:val="0"/>
              <w:widowControl/>
              <w:suppressLineNumbers w:val="0"/>
              <w:jc w:val="left"/>
              <w:rPr>
                <w:color w:val="auto"/>
              </w:rPr>
            </w:pPr>
            <w:r>
              <w:rPr>
                <w:rFonts w:hint="eastAsia" w:ascii="宋体" w:hAnsi="宋体" w:eastAsia="宋体" w:cs="宋体"/>
                <w:color w:val="auto"/>
                <w:kern w:val="0"/>
                <w:sz w:val="20"/>
                <w:szCs w:val="20"/>
                <w:lang w:val="en-US" w:eastAsia="zh-CN" w:bidi="ar"/>
              </w:rPr>
              <w:t>（</w:t>
            </w:r>
            <w:r>
              <w:rPr>
                <w:rFonts w:hint="default" w:ascii="Calibri" w:hAnsi="Calibri" w:eastAsia="宋体" w:cs="Calibri"/>
                <w:color w:val="auto"/>
                <w:kern w:val="0"/>
                <w:sz w:val="20"/>
                <w:szCs w:val="20"/>
                <w:lang w:val="en-US" w:eastAsia="zh-CN" w:bidi="ar"/>
              </w:rPr>
              <w:t>5</w:t>
            </w:r>
            <w:r>
              <w:rPr>
                <w:rFonts w:hint="eastAsia" w:ascii="宋体" w:hAnsi="宋体" w:eastAsia="宋体" w:cs="宋体"/>
                <w:color w:val="auto"/>
                <w:kern w:val="0"/>
                <w:sz w:val="20"/>
                <w:szCs w:val="20"/>
                <w:lang w:val="en-US" w:eastAsia="zh-CN" w:bidi="ar"/>
              </w:rPr>
              <w:t xml:space="preserve">）有串通投标或弄虚作假或有其他违法行为的； </w:t>
            </w:r>
          </w:p>
          <w:p w14:paraId="49DE29C5">
            <w:pPr>
              <w:keepNext w:val="0"/>
              <w:keepLines w:val="0"/>
              <w:widowControl/>
              <w:suppressLineNumbers w:val="0"/>
              <w:jc w:val="left"/>
              <w:rPr>
                <w:color w:val="auto"/>
              </w:rPr>
            </w:pPr>
            <w:r>
              <w:rPr>
                <w:rFonts w:hint="eastAsia" w:ascii="宋体" w:hAnsi="宋体" w:eastAsia="宋体" w:cs="宋体"/>
                <w:color w:val="auto"/>
                <w:kern w:val="0"/>
                <w:sz w:val="20"/>
                <w:szCs w:val="20"/>
                <w:lang w:val="en-US" w:eastAsia="zh-CN" w:bidi="ar"/>
              </w:rPr>
              <w:t>（</w:t>
            </w:r>
            <w:r>
              <w:rPr>
                <w:rFonts w:hint="default" w:ascii="Calibri" w:hAnsi="Calibri" w:eastAsia="宋体" w:cs="Calibri"/>
                <w:color w:val="auto"/>
                <w:kern w:val="0"/>
                <w:sz w:val="20"/>
                <w:szCs w:val="20"/>
                <w:lang w:val="en-US" w:eastAsia="zh-CN" w:bidi="ar"/>
              </w:rPr>
              <w:t>6</w:t>
            </w:r>
            <w:r>
              <w:rPr>
                <w:rFonts w:hint="eastAsia" w:ascii="宋体" w:hAnsi="宋体" w:eastAsia="宋体" w:cs="宋体"/>
                <w:color w:val="auto"/>
                <w:kern w:val="0"/>
                <w:sz w:val="20"/>
                <w:szCs w:val="20"/>
                <w:lang w:val="en-US" w:eastAsia="zh-CN" w:bidi="ar"/>
              </w:rPr>
              <w:t xml:space="preserve">）投标人不按评标委员会要求澄清、说明或补正的； </w:t>
            </w:r>
          </w:p>
          <w:p w14:paraId="3E314953">
            <w:pPr>
              <w:keepNext w:val="0"/>
              <w:keepLines w:val="0"/>
              <w:widowControl/>
              <w:suppressLineNumbers w:val="0"/>
              <w:jc w:val="left"/>
              <w:rPr>
                <w:color w:val="auto"/>
              </w:rPr>
            </w:pPr>
            <w:r>
              <w:rPr>
                <w:rFonts w:hint="eastAsia" w:ascii="宋体" w:hAnsi="宋体" w:eastAsia="宋体" w:cs="宋体"/>
                <w:color w:val="auto"/>
                <w:kern w:val="0"/>
                <w:sz w:val="20"/>
                <w:szCs w:val="20"/>
                <w:lang w:val="en-US" w:eastAsia="zh-CN" w:bidi="ar"/>
              </w:rPr>
              <w:t>（</w:t>
            </w:r>
            <w:r>
              <w:rPr>
                <w:rFonts w:hint="default" w:ascii="Calibri" w:hAnsi="Calibri" w:eastAsia="宋体" w:cs="Calibri"/>
                <w:color w:val="auto"/>
                <w:kern w:val="0"/>
                <w:sz w:val="20"/>
                <w:szCs w:val="20"/>
                <w:lang w:val="en-US" w:eastAsia="zh-CN" w:bidi="ar"/>
              </w:rPr>
              <w:t>7</w:t>
            </w:r>
            <w:r>
              <w:rPr>
                <w:rFonts w:hint="eastAsia" w:ascii="宋体" w:hAnsi="宋体" w:eastAsia="宋体" w:cs="宋体"/>
                <w:color w:val="auto"/>
                <w:kern w:val="0"/>
                <w:sz w:val="20"/>
                <w:szCs w:val="20"/>
                <w:lang w:val="en-US" w:eastAsia="zh-CN" w:bidi="ar"/>
              </w:rPr>
              <w:t xml:space="preserve">）不同投标人的投标报价或者报价组成异常一致或者呈规律性变化的； </w:t>
            </w:r>
          </w:p>
          <w:p w14:paraId="147C684E">
            <w:pPr>
              <w:keepNext w:val="0"/>
              <w:keepLines w:val="0"/>
              <w:widowControl/>
              <w:suppressLineNumbers w:val="0"/>
              <w:jc w:val="left"/>
              <w:rPr>
                <w:color w:val="auto"/>
              </w:rPr>
            </w:pPr>
            <w:r>
              <w:rPr>
                <w:rFonts w:hint="eastAsia" w:ascii="宋体" w:hAnsi="宋体" w:eastAsia="宋体" w:cs="宋体"/>
                <w:color w:val="auto"/>
                <w:kern w:val="0"/>
                <w:sz w:val="20"/>
                <w:szCs w:val="20"/>
                <w:lang w:val="en-US" w:eastAsia="zh-CN" w:bidi="ar"/>
              </w:rPr>
              <w:t>（</w:t>
            </w:r>
            <w:r>
              <w:rPr>
                <w:rFonts w:hint="default" w:ascii="Calibri" w:hAnsi="Calibri" w:eastAsia="宋体" w:cs="Calibri"/>
                <w:color w:val="auto"/>
                <w:kern w:val="0"/>
                <w:sz w:val="20"/>
                <w:szCs w:val="20"/>
                <w:lang w:val="en-US" w:eastAsia="zh-CN" w:bidi="ar"/>
              </w:rPr>
              <w:t>8</w:t>
            </w:r>
            <w:r>
              <w:rPr>
                <w:rFonts w:hint="eastAsia" w:ascii="宋体" w:hAnsi="宋体" w:eastAsia="宋体" w:cs="宋体"/>
                <w:color w:val="auto"/>
                <w:kern w:val="0"/>
                <w:sz w:val="20"/>
                <w:szCs w:val="20"/>
                <w:lang w:val="en-US" w:eastAsia="zh-CN" w:bidi="ar"/>
              </w:rPr>
              <w:t xml:space="preserve">）投标文件附有招标人不能接受的条件； </w:t>
            </w:r>
          </w:p>
          <w:p w14:paraId="69C41C14">
            <w:pPr>
              <w:keepNext w:val="0"/>
              <w:keepLines w:val="0"/>
              <w:widowControl/>
              <w:suppressLineNumbers w:val="0"/>
              <w:jc w:val="left"/>
              <w:rPr>
                <w:color w:val="auto"/>
              </w:rPr>
            </w:pPr>
            <w:r>
              <w:rPr>
                <w:rFonts w:hint="eastAsia" w:ascii="宋体" w:hAnsi="宋体" w:eastAsia="宋体" w:cs="宋体"/>
                <w:color w:val="auto"/>
                <w:kern w:val="0"/>
                <w:sz w:val="20"/>
                <w:szCs w:val="20"/>
                <w:lang w:val="en-US" w:eastAsia="zh-CN" w:bidi="ar"/>
              </w:rPr>
              <w:t>（</w:t>
            </w:r>
            <w:r>
              <w:rPr>
                <w:rFonts w:hint="default" w:ascii="Calibri" w:hAnsi="Calibri" w:eastAsia="宋体" w:cs="Calibri"/>
                <w:color w:val="auto"/>
                <w:kern w:val="0"/>
                <w:sz w:val="20"/>
                <w:szCs w:val="20"/>
                <w:lang w:val="en-US" w:eastAsia="zh-CN" w:bidi="ar"/>
              </w:rPr>
              <w:t>9</w:t>
            </w:r>
            <w:r>
              <w:rPr>
                <w:rFonts w:hint="eastAsia" w:ascii="宋体" w:hAnsi="宋体" w:eastAsia="宋体" w:cs="宋体"/>
                <w:color w:val="auto"/>
                <w:kern w:val="0"/>
                <w:sz w:val="20"/>
                <w:szCs w:val="20"/>
                <w:lang w:val="en-US" w:eastAsia="zh-CN" w:bidi="ar"/>
              </w:rPr>
              <w:t>）不符合招标文件中规定的其他实质性要求的。</w:t>
            </w:r>
          </w:p>
          <w:p w14:paraId="704A14A0">
            <w:pPr>
              <w:pStyle w:val="6"/>
              <w:rPr>
                <w:rFonts w:hint="default" w:ascii="宋体" w:hAnsi="宋体" w:eastAsia="宋体" w:cs="宋体"/>
                <w:snapToGrid w:val="0"/>
                <w:color w:val="0D0D0D"/>
                <w:spacing w:val="-1"/>
                <w:kern w:val="0"/>
                <w:szCs w:val="21"/>
                <w:lang w:val="en-US" w:eastAsia="zh-CN"/>
              </w:rPr>
            </w:pPr>
          </w:p>
          <w:p w14:paraId="28EF9652">
            <w:pPr>
              <w:pStyle w:val="6"/>
              <w:rPr>
                <w:rFonts w:hint="default"/>
              </w:rPr>
            </w:pPr>
          </w:p>
        </w:tc>
      </w:tr>
    </w:tbl>
    <w:p w14:paraId="5F371199">
      <w:pPr>
        <w:pStyle w:val="2"/>
        <w:pageBreakBefore w:val="0"/>
        <w:kinsoku/>
        <w:wordWrap w:val="0"/>
        <w:bidi w:val="0"/>
        <w:spacing w:before="240" w:after="240" w:line="240" w:lineRule="atLeast"/>
        <w:outlineLvl w:val="1"/>
        <w:rPr>
          <w:rFonts w:hint="default" w:ascii="Times New Roman" w:hAnsi="Times New Roman" w:eastAsia="黑体" w:cs="Times New Roman"/>
          <w:b w:val="0"/>
          <w:color w:val="auto"/>
          <w:sz w:val="28"/>
          <w:szCs w:val="28"/>
          <w:highlight w:val="none"/>
        </w:rPr>
      </w:pPr>
      <w:r>
        <w:rPr>
          <w:rFonts w:hint="default" w:ascii="Times New Roman" w:hAnsi="Times New Roman" w:eastAsia="黑体" w:cs="Times New Roman"/>
          <w:color w:val="auto"/>
          <w:sz w:val="27"/>
          <w:szCs w:val="27"/>
          <w:highlight w:val="none"/>
        </w:rPr>
        <w:br w:type="page"/>
      </w:r>
      <w:bookmarkStart w:id="7" w:name="_Toc7496"/>
      <w:bookmarkStart w:id="8" w:name="_Toc14499"/>
      <w:bookmarkStart w:id="9" w:name="_Toc19630"/>
      <w:r>
        <w:rPr>
          <w:rFonts w:hint="default" w:ascii="Times New Roman" w:hAnsi="Times New Roman" w:eastAsia="黑体" w:cs="Times New Roman"/>
          <w:b w:val="0"/>
          <w:color w:val="auto"/>
          <w:sz w:val="28"/>
          <w:szCs w:val="28"/>
          <w:highlight w:val="none"/>
        </w:rPr>
        <w:t>1. 评标方法</w:t>
      </w:r>
      <w:bookmarkEnd w:id="7"/>
      <w:bookmarkEnd w:id="8"/>
      <w:bookmarkEnd w:id="9"/>
    </w:p>
    <w:p w14:paraId="1977C1A0">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bookmarkStart w:id="10" w:name="_Toc19999"/>
      <w:bookmarkStart w:id="11" w:name="_Toc17017"/>
      <w:bookmarkStart w:id="12" w:name="_Toc17333"/>
      <w:r>
        <w:rPr>
          <w:rFonts w:hint="eastAsia" w:ascii="Times New Roman" w:hAnsi="Times New Roman" w:eastAsia="宋体" w:cs="Times New Roman"/>
          <w:color w:val="auto"/>
          <w:sz w:val="24"/>
          <w:highlight w:val="none"/>
          <w:lang w:val="en-US" w:eastAsia="zh-CN"/>
        </w:rPr>
        <w:t xml:space="preserve">本次评标采用技术评分最低标价法。评标委员会对满足招标文件实质性要求的 </w:t>
      </w:r>
    </w:p>
    <w:p w14:paraId="21310A85">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lang w:val="en-US" w:eastAsia="zh-CN"/>
        </w:rPr>
        <w:t>投标文件的施工组织设计、主要人员、技术能力等因素进行评分，按照得分由高到低排序，对排名在招标文件规定数量以内的投标人的报价文件进行评审，按照评标价由低到高的顺序推荐中标候选人，或根据招标人授权直接确定中标人，但投标报价低于其成本的除外。评标价相等时，评标委员会应按照评标办法前附表规定的优先次序推荐中标候选人或确定中标人。</w:t>
      </w:r>
    </w:p>
    <w:p w14:paraId="236BEFBA">
      <w:pPr>
        <w:pStyle w:val="2"/>
        <w:pageBreakBefore w:val="0"/>
        <w:kinsoku/>
        <w:wordWrap w:val="0"/>
        <w:bidi w:val="0"/>
        <w:spacing w:before="360" w:after="240" w:line="240" w:lineRule="atLeast"/>
        <w:outlineLvl w:val="1"/>
        <w:rPr>
          <w:rFonts w:hint="default" w:ascii="Times New Roman" w:hAnsi="Times New Roman" w:eastAsia="黑体" w:cs="Times New Roman"/>
          <w:b w:val="0"/>
          <w:color w:val="auto"/>
          <w:sz w:val="28"/>
          <w:szCs w:val="28"/>
          <w:highlight w:val="none"/>
        </w:rPr>
      </w:pPr>
      <w:r>
        <w:rPr>
          <w:rFonts w:hint="default" w:ascii="Times New Roman" w:hAnsi="Times New Roman" w:eastAsia="黑体" w:cs="Times New Roman"/>
          <w:b w:val="0"/>
          <w:color w:val="auto"/>
          <w:sz w:val="28"/>
          <w:szCs w:val="28"/>
          <w:highlight w:val="none"/>
        </w:rPr>
        <w:t>2. 评审标准</w:t>
      </w:r>
      <w:bookmarkEnd w:id="10"/>
      <w:bookmarkEnd w:id="11"/>
      <w:bookmarkEnd w:id="12"/>
    </w:p>
    <w:p w14:paraId="2A6B3FC4">
      <w:pPr>
        <w:pStyle w:val="2"/>
        <w:pageBreakBefore w:val="0"/>
        <w:kinsoku/>
        <w:wordWrap w:val="0"/>
        <w:bidi w:val="0"/>
        <w:spacing w:before="240" w:after="240" w:line="240" w:lineRule="atLeast"/>
        <w:outlineLvl w:val="2"/>
        <w:rPr>
          <w:rFonts w:hint="default" w:ascii="Times New Roman" w:hAnsi="Times New Roman" w:eastAsia="黑体" w:cs="Times New Roman"/>
          <w:b w:val="0"/>
          <w:color w:val="auto"/>
          <w:sz w:val="24"/>
          <w:szCs w:val="24"/>
          <w:highlight w:val="none"/>
        </w:rPr>
      </w:pPr>
      <w:bookmarkStart w:id="13" w:name="_Toc30112"/>
      <w:bookmarkStart w:id="14" w:name="_Toc4487"/>
      <w:bookmarkStart w:id="15" w:name="_Toc8946"/>
      <w:r>
        <w:rPr>
          <w:rFonts w:hint="default" w:ascii="Times New Roman" w:hAnsi="Times New Roman" w:eastAsia="黑体" w:cs="Times New Roman"/>
          <w:b w:val="0"/>
          <w:color w:val="auto"/>
          <w:sz w:val="24"/>
          <w:szCs w:val="24"/>
          <w:highlight w:val="none"/>
        </w:rPr>
        <w:t>2.1 初步评审标准</w:t>
      </w:r>
      <w:bookmarkEnd w:id="13"/>
      <w:bookmarkEnd w:id="14"/>
      <w:bookmarkEnd w:id="15"/>
    </w:p>
    <w:p w14:paraId="2B76FDA2">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2.1.1 形式评审标准：见评标办法前附表。</w:t>
      </w:r>
    </w:p>
    <w:p w14:paraId="5E60BB28">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2.1.2 资格评审标准：见评标办法前附表。</w:t>
      </w:r>
    </w:p>
    <w:p w14:paraId="69E627EA">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2.1.3 响应性评审标准：见评标办法前附表。</w:t>
      </w:r>
    </w:p>
    <w:p w14:paraId="3336B4E5">
      <w:pPr>
        <w:pStyle w:val="2"/>
        <w:pageBreakBefore w:val="0"/>
        <w:kinsoku/>
        <w:wordWrap w:val="0"/>
        <w:bidi w:val="0"/>
        <w:spacing w:before="240" w:after="240" w:line="240" w:lineRule="atLeast"/>
        <w:outlineLvl w:val="2"/>
        <w:rPr>
          <w:rFonts w:hint="default" w:ascii="Times New Roman" w:hAnsi="Times New Roman" w:eastAsia="黑体" w:cs="Times New Roman"/>
          <w:b w:val="0"/>
          <w:color w:val="auto"/>
          <w:sz w:val="24"/>
          <w:szCs w:val="24"/>
          <w:highlight w:val="none"/>
        </w:rPr>
      </w:pPr>
      <w:bookmarkStart w:id="16" w:name="_Toc22583"/>
      <w:bookmarkStart w:id="17" w:name="_Toc26225"/>
      <w:bookmarkStart w:id="18" w:name="_Toc12073"/>
      <w:r>
        <w:rPr>
          <w:rFonts w:hint="default" w:ascii="Times New Roman" w:hAnsi="Times New Roman" w:eastAsia="黑体" w:cs="Times New Roman"/>
          <w:b w:val="0"/>
          <w:color w:val="auto"/>
          <w:sz w:val="24"/>
          <w:szCs w:val="24"/>
          <w:highlight w:val="none"/>
        </w:rPr>
        <w:t>2.2 分值构成与评分标准</w:t>
      </w:r>
      <w:bookmarkEnd w:id="16"/>
      <w:bookmarkEnd w:id="17"/>
      <w:bookmarkEnd w:id="18"/>
    </w:p>
    <w:p w14:paraId="0C6F50E1">
      <w:pPr>
        <w:pageBreakBefore w:val="0"/>
        <w:tabs>
          <w:tab w:val="left" w:pos="360"/>
        </w:tabs>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 xml:space="preserve">2.2.1 </w:t>
      </w:r>
      <w:r>
        <w:rPr>
          <w:rFonts w:hint="default" w:ascii="Times New Roman" w:hAnsi="Times New Roman" w:eastAsia="宋体" w:cs="Times New Roman"/>
          <w:bCs/>
          <w:color w:val="auto"/>
          <w:kern w:val="44"/>
          <w:sz w:val="24"/>
          <w:highlight w:val="none"/>
        </w:rPr>
        <w:t>第一个信封评分</w:t>
      </w:r>
      <w:r>
        <w:rPr>
          <w:rFonts w:hint="default" w:ascii="Times New Roman" w:hAnsi="Times New Roman" w:eastAsia="宋体" w:cs="Times New Roman"/>
          <w:color w:val="auto"/>
          <w:sz w:val="24"/>
          <w:highlight w:val="none"/>
        </w:rPr>
        <w:t>分值构成</w:t>
      </w:r>
    </w:p>
    <w:p w14:paraId="4F8D71ED">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（1）施工组织设计：见评标办法前附表；</w:t>
      </w:r>
    </w:p>
    <w:p w14:paraId="2E9A8474">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（2）主要人员：见评标办法前附表；</w:t>
      </w:r>
    </w:p>
    <w:p w14:paraId="1348716B">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（3）其他评分因素：见评标办法前附表。</w:t>
      </w:r>
    </w:p>
    <w:p w14:paraId="010A7625">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 xml:space="preserve">2.2.2 </w:t>
      </w:r>
      <w:r>
        <w:rPr>
          <w:rFonts w:hint="default" w:ascii="Times New Roman" w:hAnsi="Times New Roman" w:eastAsia="宋体" w:cs="Times New Roman"/>
          <w:bCs/>
          <w:color w:val="auto"/>
          <w:kern w:val="44"/>
          <w:sz w:val="24"/>
          <w:highlight w:val="none"/>
        </w:rPr>
        <w:t>第一个信封评分</w:t>
      </w:r>
      <w:r>
        <w:rPr>
          <w:rFonts w:hint="default" w:ascii="Times New Roman" w:hAnsi="Times New Roman" w:eastAsia="宋体" w:cs="Times New Roman"/>
          <w:color w:val="auto"/>
          <w:sz w:val="24"/>
          <w:highlight w:val="none"/>
        </w:rPr>
        <w:t>评分标准</w:t>
      </w:r>
    </w:p>
    <w:p w14:paraId="18820429">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（1）施工组织设计评分标准：见评标办法前附表；</w:t>
      </w:r>
    </w:p>
    <w:p w14:paraId="0DEDA1ED">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（2）主要人员评分标准：见评标办法前附表；</w:t>
      </w:r>
    </w:p>
    <w:p w14:paraId="19A86C75">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（3）其他因素评分标准：见评标办法前附表。</w:t>
      </w:r>
    </w:p>
    <w:p w14:paraId="69386AA5">
      <w:pPr>
        <w:pageBreakBefore w:val="0"/>
        <w:kinsoku/>
        <w:wordWrap w:val="0"/>
        <w:bidi w:val="0"/>
        <w:spacing w:line="400" w:lineRule="atLeast"/>
        <w:ind w:firstLine="480" w:firstLineChars="200"/>
        <w:rPr>
          <w:rFonts w:hint="default" w:ascii="Times New Roman" w:hAnsi="Times New Roman" w:eastAsia="隶书" w:cs="Times New Roman"/>
          <w:color w:val="auto"/>
          <w:sz w:val="24"/>
          <w:highlight w:val="none"/>
        </w:rPr>
      </w:pPr>
      <w:r>
        <w:rPr>
          <w:rFonts w:hint="default" w:ascii="Times New Roman" w:hAnsi="Times New Roman" w:eastAsia="宋体" w:cs="Times New Roman"/>
          <w:color w:val="auto"/>
          <w:sz w:val="24"/>
          <w:highlight w:val="none"/>
        </w:rPr>
        <w:t>2.2.3 第二个信封详细评审标准：见评标办法前附表。</w:t>
      </w:r>
    </w:p>
    <w:p w14:paraId="7B77232F">
      <w:pPr>
        <w:pStyle w:val="2"/>
        <w:pageBreakBefore w:val="0"/>
        <w:kinsoku/>
        <w:wordWrap w:val="0"/>
        <w:bidi w:val="0"/>
        <w:spacing w:before="360" w:after="240" w:line="240" w:lineRule="atLeast"/>
        <w:outlineLvl w:val="1"/>
        <w:rPr>
          <w:rFonts w:hint="default" w:ascii="Times New Roman" w:hAnsi="Times New Roman" w:eastAsia="黑体" w:cs="Times New Roman"/>
          <w:b w:val="0"/>
          <w:color w:val="auto"/>
          <w:sz w:val="28"/>
          <w:szCs w:val="28"/>
          <w:highlight w:val="none"/>
        </w:rPr>
      </w:pPr>
      <w:bookmarkStart w:id="19" w:name="_Toc8093"/>
      <w:bookmarkStart w:id="20" w:name="_Toc8660"/>
      <w:bookmarkStart w:id="21" w:name="_Toc16502"/>
      <w:r>
        <w:rPr>
          <w:rFonts w:hint="default" w:ascii="Times New Roman" w:hAnsi="Times New Roman" w:eastAsia="黑体" w:cs="Times New Roman"/>
          <w:b w:val="0"/>
          <w:color w:val="auto"/>
          <w:sz w:val="28"/>
          <w:szCs w:val="28"/>
          <w:highlight w:val="none"/>
        </w:rPr>
        <w:t>3. 评标程序</w:t>
      </w:r>
      <w:bookmarkEnd w:id="19"/>
      <w:bookmarkEnd w:id="20"/>
      <w:bookmarkEnd w:id="21"/>
    </w:p>
    <w:p w14:paraId="4FD929B3">
      <w:pPr>
        <w:pStyle w:val="2"/>
        <w:pageBreakBefore w:val="0"/>
        <w:kinsoku/>
        <w:wordWrap w:val="0"/>
        <w:bidi w:val="0"/>
        <w:spacing w:before="240" w:after="240" w:line="240" w:lineRule="atLeast"/>
        <w:outlineLvl w:val="2"/>
        <w:rPr>
          <w:rFonts w:hint="default" w:ascii="Times New Roman" w:hAnsi="Times New Roman" w:eastAsia="黑体" w:cs="Times New Roman"/>
          <w:b w:val="0"/>
          <w:color w:val="auto"/>
          <w:sz w:val="24"/>
          <w:szCs w:val="24"/>
          <w:highlight w:val="none"/>
        </w:rPr>
      </w:pPr>
      <w:bookmarkStart w:id="22" w:name="_Toc19577"/>
      <w:bookmarkStart w:id="23" w:name="_Toc25424"/>
      <w:bookmarkStart w:id="24" w:name="_Toc15408"/>
      <w:r>
        <w:rPr>
          <w:rFonts w:hint="default" w:ascii="Times New Roman" w:hAnsi="Times New Roman" w:eastAsia="黑体" w:cs="Times New Roman"/>
          <w:b w:val="0"/>
          <w:color w:val="auto"/>
          <w:sz w:val="24"/>
          <w:szCs w:val="24"/>
          <w:highlight w:val="none"/>
        </w:rPr>
        <w:t>3.1第一个信封初步评审</w:t>
      </w:r>
      <w:bookmarkEnd w:id="22"/>
      <w:bookmarkEnd w:id="23"/>
      <w:bookmarkEnd w:id="24"/>
    </w:p>
    <w:p w14:paraId="45EC2676">
      <w:pPr>
        <w:keepNext w:val="0"/>
        <w:keepLines w:val="0"/>
        <w:widowControl/>
        <w:suppressLineNumbers w:val="0"/>
        <w:jc w:val="left"/>
      </w:pPr>
      <w:r>
        <w:rPr>
          <w:rFonts w:ascii="Calibri" w:hAnsi="Calibri" w:eastAsia="宋体" w:cs="Calibri"/>
          <w:color w:val="000000"/>
          <w:kern w:val="0"/>
          <w:sz w:val="24"/>
          <w:szCs w:val="24"/>
          <w:lang w:val="en-US" w:eastAsia="zh-CN" w:bidi="ar"/>
        </w:rPr>
        <w:t xml:space="preserve">3.1.1 </w:t>
      </w:r>
      <w:r>
        <w:rPr>
          <w:rFonts w:hint="eastAsia" w:ascii="宋体" w:hAnsi="宋体" w:eastAsia="宋体" w:cs="宋体"/>
          <w:color w:val="000000"/>
          <w:kern w:val="0"/>
          <w:sz w:val="24"/>
          <w:szCs w:val="24"/>
          <w:lang w:val="en-US" w:eastAsia="zh-CN" w:bidi="ar"/>
        </w:rPr>
        <w:t xml:space="preserve">评标委员会可以要求投标人提交第二章“投标人须知”第 </w:t>
      </w:r>
      <w:r>
        <w:rPr>
          <w:rFonts w:hint="default" w:ascii="Calibri" w:hAnsi="Calibri" w:eastAsia="宋体" w:cs="Calibri"/>
          <w:color w:val="000000"/>
          <w:kern w:val="0"/>
          <w:sz w:val="24"/>
          <w:szCs w:val="24"/>
          <w:lang w:val="en-US" w:eastAsia="zh-CN" w:bidi="ar"/>
        </w:rPr>
        <w:t xml:space="preserve">3.5.1 </w:t>
      </w:r>
      <w:r>
        <w:rPr>
          <w:rFonts w:hint="eastAsia" w:ascii="宋体" w:hAnsi="宋体" w:eastAsia="宋体" w:cs="宋体"/>
          <w:color w:val="000000"/>
          <w:kern w:val="0"/>
          <w:sz w:val="24"/>
          <w:szCs w:val="24"/>
          <w:lang w:val="en-US" w:eastAsia="zh-CN" w:bidi="ar"/>
        </w:rPr>
        <w:t xml:space="preserve">项至第 </w:t>
      </w:r>
      <w:r>
        <w:rPr>
          <w:rFonts w:hint="default" w:ascii="Calibri" w:hAnsi="Calibri" w:eastAsia="宋体" w:cs="Calibri"/>
          <w:color w:val="000000"/>
          <w:kern w:val="0"/>
          <w:sz w:val="24"/>
          <w:szCs w:val="24"/>
          <w:lang w:val="en-US" w:eastAsia="zh-CN" w:bidi="ar"/>
        </w:rPr>
        <w:t xml:space="preserve">3.5.6 </w:t>
      </w:r>
      <w:r>
        <w:rPr>
          <w:rFonts w:hint="eastAsia" w:ascii="宋体" w:hAnsi="宋体" w:eastAsia="宋体" w:cs="宋体"/>
          <w:color w:val="000000"/>
          <w:kern w:val="0"/>
          <w:sz w:val="24"/>
          <w:szCs w:val="24"/>
          <w:lang w:val="en-US" w:eastAsia="zh-CN" w:bidi="ar"/>
        </w:rPr>
        <w:t xml:space="preserve">项规定的有关证明和证件的原件，以便核验。评标委员会依据本章第 </w:t>
      </w:r>
      <w:r>
        <w:rPr>
          <w:rFonts w:hint="default" w:ascii="Calibri" w:hAnsi="Calibri" w:eastAsia="宋体" w:cs="Calibri"/>
          <w:color w:val="000000"/>
          <w:kern w:val="0"/>
          <w:sz w:val="24"/>
          <w:szCs w:val="24"/>
          <w:lang w:val="en-US" w:eastAsia="zh-CN" w:bidi="ar"/>
        </w:rPr>
        <w:t xml:space="preserve">2.1 </w:t>
      </w:r>
      <w:r>
        <w:rPr>
          <w:rFonts w:hint="eastAsia" w:ascii="宋体" w:hAnsi="宋体" w:eastAsia="宋体" w:cs="宋体"/>
          <w:color w:val="000000"/>
          <w:kern w:val="0"/>
          <w:sz w:val="24"/>
          <w:szCs w:val="24"/>
          <w:lang w:val="en-US" w:eastAsia="zh-CN" w:bidi="ar"/>
        </w:rPr>
        <w:t>款规定的标准对投标文件第一个信封（商务及技术文件）进行初步评审。有一项不符合评审标准的，评标委员会应否决其投标。</w:t>
      </w:r>
    </w:p>
    <w:p w14:paraId="667F7F86">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p>
    <w:p w14:paraId="0C38FA33">
      <w:pPr>
        <w:keepNext w:val="0"/>
        <w:keepLines w:val="0"/>
        <w:widowControl/>
        <w:suppressLineNumbers w:val="0"/>
        <w:jc w:val="left"/>
      </w:pPr>
      <w:r>
        <w:rPr>
          <w:rFonts w:hint="default" w:ascii="Times New Roman" w:hAnsi="Times New Roman" w:eastAsia="宋体" w:cs="Times New Roman"/>
          <w:color w:val="auto"/>
          <w:sz w:val="24"/>
          <w:highlight w:val="none"/>
        </w:rPr>
        <w:t xml:space="preserve">3.1.2 </w:t>
      </w:r>
      <w:r>
        <w:rPr>
          <w:rFonts w:hint="eastAsia" w:ascii="宋体" w:hAnsi="宋体" w:eastAsia="宋体" w:cs="宋体"/>
          <w:color w:val="000000"/>
          <w:kern w:val="0"/>
          <w:sz w:val="24"/>
          <w:szCs w:val="24"/>
          <w:lang w:val="en-US" w:eastAsia="zh-CN" w:bidi="ar"/>
        </w:rPr>
        <w:t xml:space="preserve">评标委员会依据本章第 </w:t>
      </w:r>
      <w:r>
        <w:rPr>
          <w:rFonts w:ascii="Calibri" w:hAnsi="Calibri" w:eastAsia="宋体" w:cs="Calibri"/>
          <w:color w:val="000000"/>
          <w:kern w:val="0"/>
          <w:sz w:val="24"/>
          <w:szCs w:val="24"/>
          <w:lang w:val="en-US" w:eastAsia="zh-CN" w:bidi="ar"/>
        </w:rPr>
        <w:t xml:space="preserve">2.1.1 </w:t>
      </w:r>
      <w:r>
        <w:rPr>
          <w:rFonts w:hint="eastAsia" w:ascii="宋体" w:hAnsi="宋体" w:eastAsia="宋体" w:cs="宋体"/>
          <w:color w:val="000000"/>
          <w:kern w:val="0"/>
          <w:sz w:val="24"/>
          <w:szCs w:val="24"/>
          <w:lang w:val="en-US" w:eastAsia="zh-CN" w:bidi="ar"/>
        </w:rPr>
        <w:t xml:space="preserve">项、第 </w:t>
      </w:r>
      <w:r>
        <w:rPr>
          <w:rFonts w:hint="default" w:ascii="Calibri" w:hAnsi="Calibri" w:eastAsia="宋体" w:cs="Calibri"/>
          <w:color w:val="000000"/>
          <w:kern w:val="0"/>
          <w:sz w:val="24"/>
          <w:szCs w:val="24"/>
          <w:lang w:val="en-US" w:eastAsia="zh-CN" w:bidi="ar"/>
        </w:rPr>
        <w:t xml:space="preserve">2.1.3 </w:t>
      </w:r>
      <w:r>
        <w:rPr>
          <w:rFonts w:hint="eastAsia" w:ascii="宋体" w:hAnsi="宋体" w:eastAsia="宋体" w:cs="宋体"/>
          <w:color w:val="000000"/>
          <w:kern w:val="0"/>
          <w:sz w:val="24"/>
          <w:szCs w:val="24"/>
          <w:lang w:val="en-US" w:eastAsia="zh-CN" w:bidi="ar"/>
        </w:rPr>
        <w:t xml:space="preserve">项规定的评审标准对投标文件第 </w:t>
      </w:r>
    </w:p>
    <w:p w14:paraId="1421D146">
      <w:pPr>
        <w:keepNext w:val="0"/>
        <w:keepLines w:val="0"/>
        <w:widowControl/>
        <w:suppressLineNumbers w:val="0"/>
        <w:jc w:val="left"/>
      </w:pPr>
      <w:r>
        <w:rPr>
          <w:rFonts w:hint="eastAsia" w:ascii="宋体" w:hAnsi="宋体" w:eastAsia="宋体" w:cs="宋体"/>
          <w:color w:val="000000"/>
          <w:kern w:val="0"/>
          <w:sz w:val="24"/>
          <w:szCs w:val="24"/>
          <w:lang w:val="en-US" w:eastAsia="zh-CN" w:bidi="ar"/>
        </w:rPr>
        <w:t xml:space="preserve">一个信封（商务及技术文件）进行初步评审。有一项不符合评审标准的，评标委员 </w:t>
      </w:r>
    </w:p>
    <w:p w14:paraId="36996FCC">
      <w:pPr>
        <w:keepNext w:val="0"/>
        <w:keepLines w:val="0"/>
        <w:widowControl/>
        <w:suppressLineNumbers w:val="0"/>
        <w:jc w:val="left"/>
      </w:pPr>
      <w:r>
        <w:rPr>
          <w:rFonts w:hint="eastAsia" w:ascii="宋体" w:hAnsi="宋体" w:eastAsia="宋体" w:cs="宋体"/>
          <w:color w:val="000000"/>
          <w:kern w:val="0"/>
          <w:sz w:val="24"/>
          <w:szCs w:val="24"/>
          <w:lang w:val="en-US" w:eastAsia="zh-CN" w:bidi="ar"/>
        </w:rPr>
        <w:t>会应否决其投标。</w:t>
      </w:r>
    </w:p>
    <w:p w14:paraId="4DA75265">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p>
    <w:p w14:paraId="3F50AE89">
      <w:pPr>
        <w:pStyle w:val="2"/>
        <w:pageBreakBefore w:val="0"/>
        <w:kinsoku/>
        <w:wordWrap w:val="0"/>
        <w:bidi w:val="0"/>
        <w:spacing w:before="240" w:after="240" w:line="240" w:lineRule="atLeast"/>
        <w:outlineLvl w:val="2"/>
        <w:rPr>
          <w:rFonts w:hint="default" w:ascii="Times New Roman" w:hAnsi="Times New Roman" w:eastAsia="黑体" w:cs="Times New Roman"/>
          <w:b w:val="0"/>
          <w:color w:val="auto"/>
          <w:sz w:val="24"/>
          <w:szCs w:val="24"/>
          <w:highlight w:val="none"/>
        </w:rPr>
      </w:pPr>
      <w:bookmarkStart w:id="25" w:name="_Toc3305"/>
      <w:bookmarkStart w:id="26" w:name="_Toc7639"/>
      <w:bookmarkStart w:id="27" w:name="_Toc21166"/>
      <w:r>
        <w:rPr>
          <w:rFonts w:hint="default" w:ascii="Times New Roman" w:hAnsi="Times New Roman" w:eastAsia="黑体" w:cs="Times New Roman"/>
          <w:b w:val="0"/>
          <w:color w:val="auto"/>
          <w:sz w:val="24"/>
          <w:szCs w:val="24"/>
          <w:highlight w:val="none"/>
        </w:rPr>
        <w:t>3.2</w:t>
      </w:r>
      <w:r>
        <w:rPr>
          <w:rFonts w:hint="default" w:ascii="Times New Roman" w:hAnsi="Times New Roman" w:eastAsia="黑体" w:cs="Times New Roman"/>
          <w:b w:val="0"/>
          <w:color w:val="auto"/>
          <w:sz w:val="24"/>
          <w:szCs w:val="24"/>
          <w:highlight w:val="none"/>
          <w:lang w:eastAsia="zh-CN"/>
        </w:rPr>
        <w:t xml:space="preserve"> </w:t>
      </w:r>
      <w:r>
        <w:rPr>
          <w:rFonts w:hint="default" w:ascii="Times New Roman" w:hAnsi="Times New Roman" w:eastAsia="黑体" w:cs="Times New Roman"/>
          <w:b w:val="0"/>
          <w:color w:val="auto"/>
          <w:sz w:val="24"/>
          <w:szCs w:val="24"/>
          <w:highlight w:val="none"/>
        </w:rPr>
        <w:t>第一个信封详细评审</w:t>
      </w:r>
      <w:bookmarkEnd w:id="25"/>
      <w:bookmarkEnd w:id="26"/>
      <w:bookmarkEnd w:id="27"/>
    </w:p>
    <w:p w14:paraId="23C684B6">
      <w:pPr>
        <w:keepNext w:val="0"/>
        <w:keepLines w:val="0"/>
        <w:widowControl/>
        <w:suppressLineNumbers w:val="0"/>
        <w:jc w:val="left"/>
      </w:pPr>
      <w:bookmarkStart w:id="28" w:name="_Toc27087"/>
      <w:bookmarkStart w:id="29" w:name="_Toc20224"/>
      <w:bookmarkStart w:id="30" w:name="_Toc6113"/>
      <w:r>
        <w:rPr>
          <w:rFonts w:ascii="Calibri" w:hAnsi="Calibri" w:eastAsia="宋体" w:cs="Calibri"/>
          <w:color w:val="000000"/>
          <w:kern w:val="0"/>
          <w:sz w:val="24"/>
          <w:szCs w:val="24"/>
          <w:lang w:val="en-US" w:eastAsia="zh-CN" w:bidi="ar"/>
        </w:rPr>
        <w:t xml:space="preserve">3.2.1 </w:t>
      </w:r>
      <w:r>
        <w:rPr>
          <w:rFonts w:hint="eastAsia" w:ascii="宋体" w:hAnsi="宋体" w:eastAsia="宋体" w:cs="宋体"/>
          <w:color w:val="000000"/>
          <w:kern w:val="0"/>
          <w:sz w:val="24"/>
          <w:szCs w:val="24"/>
          <w:lang w:val="en-US" w:eastAsia="zh-CN" w:bidi="ar"/>
        </w:rPr>
        <w:t xml:space="preserve">评标委员会按本章第 </w:t>
      </w:r>
      <w:r>
        <w:rPr>
          <w:rFonts w:hint="default" w:ascii="Calibri" w:hAnsi="Calibri" w:eastAsia="宋体" w:cs="Calibri"/>
          <w:color w:val="000000"/>
          <w:kern w:val="0"/>
          <w:sz w:val="24"/>
          <w:szCs w:val="24"/>
          <w:lang w:val="en-US" w:eastAsia="zh-CN" w:bidi="ar"/>
        </w:rPr>
        <w:t xml:space="preserve">2.2 </w:t>
      </w:r>
      <w:r>
        <w:rPr>
          <w:rFonts w:hint="eastAsia" w:ascii="宋体" w:hAnsi="宋体" w:eastAsia="宋体" w:cs="宋体"/>
          <w:color w:val="000000"/>
          <w:kern w:val="0"/>
          <w:sz w:val="24"/>
          <w:szCs w:val="24"/>
          <w:lang w:val="en-US" w:eastAsia="zh-CN" w:bidi="ar"/>
        </w:rPr>
        <w:t xml:space="preserve">款规定的量化因素和分值进行打分，并计算出各 </w:t>
      </w:r>
    </w:p>
    <w:p w14:paraId="1871E7FA">
      <w:pPr>
        <w:keepNext w:val="0"/>
        <w:keepLines w:val="0"/>
        <w:widowControl/>
        <w:suppressLineNumbers w:val="0"/>
        <w:jc w:val="left"/>
      </w:pPr>
      <w:r>
        <w:rPr>
          <w:rFonts w:hint="eastAsia" w:ascii="宋体" w:hAnsi="宋体" w:eastAsia="宋体" w:cs="宋体"/>
          <w:color w:val="000000"/>
          <w:kern w:val="0"/>
          <w:sz w:val="24"/>
          <w:szCs w:val="24"/>
          <w:lang w:val="en-US" w:eastAsia="zh-CN" w:bidi="ar"/>
        </w:rPr>
        <w:t xml:space="preserve">投标人的商务和技术得分。 </w:t>
      </w:r>
    </w:p>
    <w:p w14:paraId="426F40BF">
      <w:pPr>
        <w:keepNext w:val="0"/>
        <w:keepLines w:val="0"/>
        <w:widowControl/>
        <w:suppressLineNumbers w:val="0"/>
        <w:jc w:val="left"/>
      </w:pPr>
      <w:r>
        <w:rPr>
          <w:rFonts w:hint="eastAsia" w:ascii="宋体" w:hAnsi="宋体" w:eastAsia="宋体" w:cs="宋体"/>
          <w:color w:val="000000"/>
          <w:kern w:val="0"/>
          <w:sz w:val="24"/>
          <w:szCs w:val="24"/>
          <w:lang w:val="en-US" w:eastAsia="zh-CN" w:bidi="ar"/>
        </w:rPr>
        <w:t>（</w:t>
      </w:r>
      <w:r>
        <w:rPr>
          <w:rFonts w:hint="default" w:ascii="Calibri" w:hAnsi="Calibri" w:eastAsia="宋体" w:cs="Calibri"/>
          <w:color w:val="000000"/>
          <w:kern w:val="0"/>
          <w:sz w:val="24"/>
          <w:szCs w:val="24"/>
          <w:lang w:val="en-US" w:eastAsia="zh-CN" w:bidi="ar"/>
        </w:rPr>
        <w:t>1</w:t>
      </w:r>
      <w:r>
        <w:rPr>
          <w:rFonts w:hint="eastAsia" w:ascii="宋体" w:hAnsi="宋体" w:eastAsia="宋体" w:cs="宋体"/>
          <w:color w:val="000000"/>
          <w:kern w:val="0"/>
          <w:sz w:val="24"/>
          <w:szCs w:val="24"/>
          <w:lang w:val="en-US" w:eastAsia="zh-CN" w:bidi="ar"/>
        </w:rPr>
        <w:t xml:space="preserve">）按本章第 </w:t>
      </w:r>
      <w:r>
        <w:rPr>
          <w:rFonts w:hint="default" w:ascii="Calibri" w:hAnsi="Calibri" w:eastAsia="宋体" w:cs="Calibri"/>
          <w:color w:val="000000"/>
          <w:kern w:val="0"/>
          <w:sz w:val="24"/>
          <w:szCs w:val="24"/>
          <w:lang w:val="en-US" w:eastAsia="zh-CN" w:bidi="ar"/>
        </w:rPr>
        <w:t xml:space="preserve">2.2.2 </w:t>
      </w:r>
      <w:r>
        <w:rPr>
          <w:rFonts w:hint="eastAsia" w:ascii="宋体" w:hAnsi="宋体" w:eastAsia="宋体" w:cs="宋体"/>
          <w:color w:val="000000"/>
          <w:kern w:val="0"/>
          <w:sz w:val="24"/>
          <w:szCs w:val="24"/>
          <w:lang w:val="en-US" w:eastAsia="zh-CN" w:bidi="ar"/>
        </w:rPr>
        <w:t>项（</w:t>
      </w:r>
      <w:r>
        <w:rPr>
          <w:rFonts w:hint="default" w:ascii="Calibri" w:hAnsi="Calibri" w:eastAsia="宋体" w:cs="Calibri"/>
          <w:color w:val="000000"/>
          <w:kern w:val="0"/>
          <w:sz w:val="24"/>
          <w:szCs w:val="24"/>
          <w:lang w:val="en-US" w:eastAsia="zh-CN" w:bidi="ar"/>
        </w:rPr>
        <w:t>1</w:t>
      </w:r>
      <w:r>
        <w:rPr>
          <w:rFonts w:hint="eastAsia" w:ascii="宋体" w:hAnsi="宋体" w:eastAsia="宋体" w:cs="宋体"/>
          <w:color w:val="000000"/>
          <w:kern w:val="0"/>
          <w:sz w:val="24"/>
          <w:szCs w:val="24"/>
          <w:lang w:val="en-US" w:eastAsia="zh-CN" w:bidi="ar"/>
        </w:rPr>
        <w:t xml:space="preserve">）目规定的评审因素和分值对施工组织设计部分计算 </w:t>
      </w:r>
    </w:p>
    <w:p w14:paraId="4928B8E6">
      <w:pPr>
        <w:keepNext w:val="0"/>
        <w:keepLines w:val="0"/>
        <w:widowControl/>
        <w:suppressLineNumbers w:val="0"/>
        <w:jc w:val="left"/>
      </w:pPr>
      <w:r>
        <w:rPr>
          <w:rFonts w:hint="eastAsia" w:ascii="宋体" w:hAnsi="宋体" w:eastAsia="宋体" w:cs="宋体"/>
          <w:color w:val="000000"/>
          <w:kern w:val="0"/>
          <w:sz w:val="24"/>
          <w:szCs w:val="24"/>
          <w:lang w:val="en-US" w:eastAsia="zh-CN" w:bidi="ar"/>
        </w:rPr>
        <w:t xml:space="preserve">出得分 </w:t>
      </w:r>
      <w:r>
        <w:rPr>
          <w:rFonts w:hint="default" w:ascii="Calibri" w:hAnsi="Calibri" w:eastAsia="宋体" w:cs="Calibri"/>
          <w:color w:val="000000"/>
          <w:kern w:val="0"/>
          <w:sz w:val="24"/>
          <w:szCs w:val="24"/>
          <w:lang w:val="en-US" w:eastAsia="zh-CN" w:bidi="ar"/>
        </w:rPr>
        <w:t>A</w:t>
      </w:r>
      <w:r>
        <w:rPr>
          <w:rFonts w:hint="eastAsia" w:ascii="宋体" w:hAnsi="宋体" w:eastAsia="宋体" w:cs="宋体"/>
          <w:color w:val="000000"/>
          <w:kern w:val="0"/>
          <w:sz w:val="24"/>
          <w:szCs w:val="24"/>
          <w:lang w:val="en-US" w:eastAsia="zh-CN" w:bidi="ar"/>
        </w:rPr>
        <w:t xml:space="preserve">； </w:t>
      </w:r>
    </w:p>
    <w:p w14:paraId="19BA6DCC">
      <w:pPr>
        <w:keepNext w:val="0"/>
        <w:keepLines w:val="0"/>
        <w:widowControl/>
        <w:suppressLineNumbers w:val="0"/>
        <w:jc w:val="left"/>
      </w:pPr>
      <w:r>
        <w:rPr>
          <w:rFonts w:hint="eastAsia" w:ascii="宋体" w:hAnsi="宋体" w:eastAsia="宋体" w:cs="宋体"/>
          <w:color w:val="000000"/>
          <w:kern w:val="0"/>
          <w:sz w:val="24"/>
          <w:szCs w:val="24"/>
          <w:lang w:val="en-US" w:eastAsia="zh-CN" w:bidi="ar"/>
        </w:rPr>
        <w:t>（</w:t>
      </w:r>
      <w:r>
        <w:rPr>
          <w:rFonts w:hint="default" w:ascii="Calibri" w:hAnsi="Calibri" w:eastAsia="宋体" w:cs="Calibri"/>
          <w:color w:val="000000"/>
          <w:kern w:val="0"/>
          <w:sz w:val="24"/>
          <w:szCs w:val="24"/>
          <w:lang w:val="en-US" w:eastAsia="zh-CN" w:bidi="ar"/>
        </w:rPr>
        <w:t>2</w:t>
      </w:r>
      <w:r>
        <w:rPr>
          <w:rFonts w:hint="eastAsia" w:ascii="宋体" w:hAnsi="宋体" w:eastAsia="宋体" w:cs="宋体"/>
          <w:color w:val="000000"/>
          <w:kern w:val="0"/>
          <w:sz w:val="24"/>
          <w:szCs w:val="24"/>
          <w:lang w:val="en-US" w:eastAsia="zh-CN" w:bidi="ar"/>
        </w:rPr>
        <w:t xml:space="preserve">）按本章第 </w:t>
      </w:r>
      <w:r>
        <w:rPr>
          <w:rFonts w:hint="default" w:ascii="Calibri" w:hAnsi="Calibri" w:eastAsia="宋体" w:cs="Calibri"/>
          <w:color w:val="000000"/>
          <w:kern w:val="0"/>
          <w:sz w:val="24"/>
          <w:szCs w:val="24"/>
          <w:lang w:val="en-US" w:eastAsia="zh-CN" w:bidi="ar"/>
        </w:rPr>
        <w:t xml:space="preserve">2.2.2 </w:t>
      </w:r>
      <w:r>
        <w:rPr>
          <w:rFonts w:hint="eastAsia" w:ascii="宋体" w:hAnsi="宋体" w:eastAsia="宋体" w:cs="宋体"/>
          <w:color w:val="000000"/>
          <w:kern w:val="0"/>
          <w:sz w:val="24"/>
          <w:szCs w:val="24"/>
          <w:lang w:val="en-US" w:eastAsia="zh-CN" w:bidi="ar"/>
        </w:rPr>
        <w:t>项（</w:t>
      </w:r>
      <w:r>
        <w:rPr>
          <w:rFonts w:hint="default" w:ascii="Calibri" w:hAnsi="Calibri" w:eastAsia="宋体" w:cs="Calibri"/>
          <w:color w:val="000000"/>
          <w:kern w:val="0"/>
          <w:sz w:val="24"/>
          <w:szCs w:val="24"/>
          <w:lang w:val="en-US" w:eastAsia="zh-CN" w:bidi="ar"/>
        </w:rPr>
        <w:t>2</w:t>
      </w:r>
      <w:r>
        <w:rPr>
          <w:rFonts w:hint="eastAsia" w:ascii="宋体" w:hAnsi="宋体" w:eastAsia="宋体" w:cs="宋体"/>
          <w:color w:val="000000"/>
          <w:kern w:val="0"/>
          <w:sz w:val="24"/>
          <w:szCs w:val="24"/>
          <w:lang w:val="en-US" w:eastAsia="zh-CN" w:bidi="ar"/>
        </w:rPr>
        <w:t xml:space="preserve">）目规定的评审因素和分值对主要人员部分计算出得 </w:t>
      </w:r>
    </w:p>
    <w:p w14:paraId="7535B163">
      <w:pPr>
        <w:keepNext w:val="0"/>
        <w:keepLines w:val="0"/>
        <w:widowControl/>
        <w:suppressLineNumbers w:val="0"/>
        <w:jc w:val="left"/>
      </w:pPr>
      <w:r>
        <w:rPr>
          <w:rFonts w:hint="eastAsia" w:ascii="宋体" w:hAnsi="宋体" w:eastAsia="宋体" w:cs="宋体"/>
          <w:color w:val="000000"/>
          <w:kern w:val="0"/>
          <w:sz w:val="24"/>
          <w:szCs w:val="24"/>
          <w:lang w:val="en-US" w:eastAsia="zh-CN" w:bidi="ar"/>
        </w:rPr>
        <w:t xml:space="preserve">分 </w:t>
      </w:r>
      <w:r>
        <w:rPr>
          <w:rFonts w:hint="default" w:ascii="Calibri" w:hAnsi="Calibri" w:eastAsia="宋体" w:cs="Calibri"/>
          <w:color w:val="000000"/>
          <w:kern w:val="0"/>
          <w:sz w:val="24"/>
          <w:szCs w:val="24"/>
          <w:lang w:val="en-US" w:eastAsia="zh-CN" w:bidi="ar"/>
        </w:rPr>
        <w:t>B</w:t>
      </w:r>
      <w:r>
        <w:rPr>
          <w:rFonts w:hint="eastAsia" w:ascii="宋体" w:hAnsi="宋体" w:eastAsia="宋体" w:cs="宋体"/>
          <w:color w:val="000000"/>
          <w:kern w:val="0"/>
          <w:sz w:val="24"/>
          <w:szCs w:val="24"/>
          <w:lang w:val="en-US" w:eastAsia="zh-CN" w:bidi="ar"/>
        </w:rPr>
        <w:t xml:space="preserve">； </w:t>
      </w:r>
    </w:p>
    <w:p w14:paraId="69B92FB6">
      <w:pPr>
        <w:keepNext w:val="0"/>
        <w:keepLines w:val="0"/>
        <w:widowControl/>
        <w:suppressLineNumbers w:val="0"/>
        <w:jc w:val="left"/>
      </w:pPr>
      <w:r>
        <w:rPr>
          <w:rFonts w:hint="eastAsia" w:ascii="宋体" w:hAnsi="宋体" w:eastAsia="宋体" w:cs="宋体"/>
          <w:color w:val="000000"/>
          <w:kern w:val="0"/>
          <w:sz w:val="24"/>
          <w:szCs w:val="24"/>
          <w:lang w:val="en-US" w:eastAsia="zh-CN" w:bidi="ar"/>
        </w:rPr>
        <w:t>（</w:t>
      </w:r>
      <w:r>
        <w:rPr>
          <w:rFonts w:hint="default" w:ascii="Calibri" w:hAnsi="Calibri" w:eastAsia="宋体" w:cs="Calibri"/>
          <w:color w:val="000000"/>
          <w:kern w:val="0"/>
          <w:sz w:val="24"/>
          <w:szCs w:val="24"/>
          <w:lang w:val="en-US" w:eastAsia="zh-CN" w:bidi="ar"/>
        </w:rPr>
        <w:t>3</w:t>
      </w:r>
      <w:r>
        <w:rPr>
          <w:rFonts w:hint="eastAsia" w:ascii="宋体" w:hAnsi="宋体" w:eastAsia="宋体" w:cs="宋体"/>
          <w:color w:val="000000"/>
          <w:kern w:val="0"/>
          <w:sz w:val="24"/>
          <w:szCs w:val="24"/>
          <w:lang w:val="en-US" w:eastAsia="zh-CN" w:bidi="ar"/>
        </w:rPr>
        <w:t xml:space="preserve">）按本章第 </w:t>
      </w:r>
      <w:r>
        <w:rPr>
          <w:rFonts w:hint="default" w:ascii="Calibri" w:hAnsi="Calibri" w:eastAsia="宋体" w:cs="Calibri"/>
          <w:color w:val="000000"/>
          <w:kern w:val="0"/>
          <w:sz w:val="24"/>
          <w:szCs w:val="24"/>
          <w:lang w:val="en-US" w:eastAsia="zh-CN" w:bidi="ar"/>
        </w:rPr>
        <w:t xml:space="preserve">2.2.2 </w:t>
      </w:r>
      <w:r>
        <w:rPr>
          <w:rFonts w:hint="eastAsia" w:ascii="宋体" w:hAnsi="宋体" w:eastAsia="宋体" w:cs="宋体"/>
          <w:color w:val="000000"/>
          <w:kern w:val="0"/>
          <w:sz w:val="24"/>
          <w:szCs w:val="24"/>
          <w:lang w:val="en-US" w:eastAsia="zh-CN" w:bidi="ar"/>
        </w:rPr>
        <w:t>项（</w:t>
      </w:r>
      <w:r>
        <w:rPr>
          <w:rFonts w:hint="default" w:ascii="Calibri" w:hAnsi="Calibri" w:eastAsia="宋体" w:cs="Calibri"/>
          <w:color w:val="000000"/>
          <w:kern w:val="0"/>
          <w:sz w:val="24"/>
          <w:szCs w:val="24"/>
          <w:lang w:val="en-US" w:eastAsia="zh-CN" w:bidi="ar"/>
        </w:rPr>
        <w:t>3</w:t>
      </w:r>
      <w:r>
        <w:rPr>
          <w:rFonts w:hint="eastAsia" w:ascii="宋体" w:hAnsi="宋体" w:eastAsia="宋体" w:cs="宋体"/>
          <w:color w:val="000000"/>
          <w:kern w:val="0"/>
          <w:sz w:val="24"/>
          <w:szCs w:val="24"/>
          <w:lang w:val="en-US" w:eastAsia="zh-CN" w:bidi="ar"/>
        </w:rPr>
        <w:t xml:space="preserve">）目规定的评审因素和分值对其他部分计算出得分 </w:t>
      </w:r>
      <w:r>
        <w:rPr>
          <w:rFonts w:hint="default" w:ascii="Calibri" w:hAnsi="Calibri" w:eastAsia="宋体" w:cs="Calibri"/>
          <w:color w:val="000000"/>
          <w:kern w:val="0"/>
          <w:sz w:val="24"/>
          <w:szCs w:val="24"/>
          <w:lang w:val="en-US" w:eastAsia="zh-CN" w:bidi="ar"/>
        </w:rPr>
        <w:t>C</w:t>
      </w:r>
      <w:r>
        <w:rPr>
          <w:rFonts w:hint="eastAsia" w:ascii="宋体" w:hAnsi="宋体" w:eastAsia="宋体" w:cs="宋体"/>
          <w:color w:val="000000"/>
          <w:kern w:val="0"/>
          <w:sz w:val="24"/>
          <w:szCs w:val="24"/>
          <w:lang w:val="en-US" w:eastAsia="zh-CN" w:bidi="ar"/>
        </w:rPr>
        <w:t xml:space="preserve">。 </w:t>
      </w:r>
    </w:p>
    <w:p w14:paraId="6D5807BA">
      <w:pPr>
        <w:keepNext w:val="0"/>
        <w:keepLines w:val="0"/>
        <w:widowControl/>
        <w:suppressLineNumbers w:val="0"/>
        <w:jc w:val="left"/>
      </w:pPr>
      <w:r>
        <w:rPr>
          <w:rFonts w:hint="default" w:ascii="Calibri" w:hAnsi="Calibri" w:eastAsia="宋体" w:cs="Calibri"/>
          <w:color w:val="000000"/>
          <w:kern w:val="0"/>
          <w:sz w:val="24"/>
          <w:szCs w:val="24"/>
          <w:lang w:val="en-US" w:eastAsia="zh-CN" w:bidi="ar"/>
        </w:rPr>
        <w:t xml:space="preserve">3.2.2 </w:t>
      </w:r>
      <w:r>
        <w:rPr>
          <w:rFonts w:hint="eastAsia" w:ascii="宋体" w:hAnsi="宋体" w:eastAsia="宋体" w:cs="宋体"/>
          <w:color w:val="000000"/>
          <w:kern w:val="0"/>
          <w:sz w:val="24"/>
          <w:szCs w:val="24"/>
          <w:lang w:val="en-US" w:eastAsia="zh-CN" w:bidi="ar"/>
        </w:rPr>
        <w:t xml:space="preserve">投标人的商务和技术得分分值计算保留小数点后两位，小数点后第三位 </w:t>
      </w:r>
    </w:p>
    <w:p w14:paraId="6E0C3520">
      <w:pPr>
        <w:keepNext w:val="0"/>
        <w:keepLines w:val="0"/>
        <w:widowControl/>
        <w:suppressLineNumbers w:val="0"/>
        <w:jc w:val="left"/>
      </w:pPr>
      <w:r>
        <w:rPr>
          <w:rFonts w:hint="eastAsia" w:ascii="宋体" w:hAnsi="宋体" w:eastAsia="宋体" w:cs="宋体"/>
          <w:color w:val="000000"/>
          <w:kern w:val="0"/>
          <w:sz w:val="24"/>
          <w:szCs w:val="24"/>
          <w:lang w:val="en-US" w:eastAsia="zh-CN" w:bidi="ar"/>
        </w:rPr>
        <w:t xml:space="preserve">“四舍五入”。 </w:t>
      </w:r>
    </w:p>
    <w:p w14:paraId="3F277992">
      <w:pPr>
        <w:keepNext w:val="0"/>
        <w:keepLines w:val="0"/>
        <w:widowControl/>
        <w:suppressLineNumbers w:val="0"/>
        <w:jc w:val="left"/>
      </w:pPr>
      <w:r>
        <w:rPr>
          <w:rFonts w:hint="default" w:ascii="Calibri" w:hAnsi="Calibri" w:eastAsia="宋体" w:cs="Calibri"/>
          <w:color w:val="000000"/>
          <w:kern w:val="0"/>
          <w:sz w:val="24"/>
          <w:szCs w:val="24"/>
          <w:lang w:val="en-US" w:eastAsia="zh-CN" w:bidi="ar"/>
        </w:rPr>
        <w:t xml:space="preserve">3.2.3 </w:t>
      </w:r>
      <w:r>
        <w:rPr>
          <w:rFonts w:hint="eastAsia" w:ascii="宋体" w:hAnsi="宋体" w:eastAsia="宋体" w:cs="宋体"/>
          <w:color w:val="000000"/>
          <w:kern w:val="0"/>
          <w:sz w:val="24"/>
          <w:szCs w:val="24"/>
          <w:lang w:val="en-US" w:eastAsia="zh-CN" w:bidi="ar"/>
        </w:rPr>
        <w:t>投标人的商务和技术得分</w:t>
      </w:r>
      <w:r>
        <w:rPr>
          <w:rFonts w:hint="default" w:ascii="Calibri" w:hAnsi="Calibri" w:eastAsia="宋体" w:cs="Calibri"/>
          <w:color w:val="000000"/>
          <w:kern w:val="0"/>
          <w:sz w:val="24"/>
          <w:szCs w:val="24"/>
          <w:lang w:val="en-US" w:eastAsia="zh-CN" w:bidi="ar"/>
        </w:rPr>
        <w:t>=A+B+C</w:t>
      </w:r>
      <w:r>
        <w:rPr>
          <w:rFonts w:hint="eastAsia" w:ascii="宋体" w:hAnsi="宋体" w:eastAsia="宋体" w:cs="宋体"/>
          <w:color w:val="000000"/>
          <w:kern w:val="0"/>
          <w:sz w:val="24"/>
          <w:szCs w:val="24"/>
          <w:lang w:val="en-US" w:eastAsia="zh-CN" w:bidi="ar"/>
        </w:rPr>
        <w:t xml:space="preserve">。 </w:t>
      </w:r>
    </w:p>
    <w:p w14:paraId="4646EE28">
      <w:pPr>
        <w:keepNext w:val="0"/>
        <w:keepLines w:val="0"/>
        <w:widowControl/>
        <w:suppressLineNumbers w:val="0"/>
        <w:jc w:val="left"/>
      </w:pPr>
      <w:r>
        <w:rPr>
          <w:rFonts w:hint="default" w:ascii="Calibri" w:hAnsi="Calibri" w:eastAsia="宋体" w:cs="Calibri"/>
          <w:color w:val="000000"/>
          <w:kern w:val="0"/>
          <w:sz w:val="24"/>
          <w:szCs w:val="24"/>
          <w:lang w:val="en-US" w:eastAsia="zh-CN" w:bidi="ar"/>
        </w:rPr>
        <w:t xml:space="preserve">3.2.4 </w:t>
      </w:r>
      <w:r>
        <w:rPr>
          <w:rFonts w:hint="eastAsia" w:ascii="宋体" w:hAnsi="宋体" w:eastAsia="宋体" w:cs="宋体"/>
          <w:color w:val="000000"/>
          <w:kern w:val="0"/>
          <w:sz w:val="24"/>
          <w:szCs w:val="24"/>
          <w:lang w:val="en-US" w:eastAsia="zh-CN" w:bidi="ar"/>
        </w:rPr>
        <w:t xml:space="preserve">评标委员会按照投标人的商务和技术得分由高到低排序，排名在评标办法 </w:t>
      </w:r>
    </w:p>
    <w:p w14:paraId="1C95B35F">
      <w:pPr>
        <w:keepNext w:val="0"/>
        <w:keepLines w:val="0"/>
        <w:widowControl/>
        <w:suppressLineNumbers w:val="0"/>
        <w:jc w:val="left"/>
      </w:pPr>
      <w:r>
        <w:rPr>
          <w:rFonts w:hint="eastAsia" w:ascii="宋体" w:hAnsi="宋体" w:eastAsia="宋体" w:cs="宋体"/>
          <w:color w:val="000000"/>
          <w:kern w:val="0"/>
          <w:sz w:val="24"/>
          <w:szCs w:val="24"/>
          <w:lang w:val="en-US" w:eastAsia="zh-CN" w:bidi="ar"/>
        </w:rPr>
        <w:t xml:space="preserve">前附表规定数量以内的投标人，其投标文件第一个信封（商务及技术文件）通过详 </w:t>
      </w:r>
    </w:p>
    <w:p w14:paraId="7415DE46">
      <w:pPr>
        <w:keepNext w:val="0"/>
        <w:keepLines w:val="0"/>
        <w:widowControl/>
        <w:suppressLineNumbers w:val="0"/>
        <w:jc w:val="left"/>
      </w:pPr>
      <w:r>
        <w:rPr>
          <w:rFonts w:hint="eastAsia" w:ascii="宋体" w:hAnsi="宋体" w:eastAsia="宋体" w:cs="宋体"/>
          <w:color w:val="000000"/>
          <w:kern w:val="0"/>
          <w:sz w:val="24"/>
          <w:szCs w:val="24"/>
          <w:lang w:val="en-US" w:eastAsia="zh-CN" w:bidi="ar"/>
        </w:rPr>
        <w:t xml:space="preserve">细评审。 </w:t>
      </w:r>
    </w:p>
    <w:p w14:paraId="30547D1B">
      <w:pPr>
        <w:keepNext w:val="0"/>
        <w:keepLines w:val="0"/>
        <w:widowControl/>
        <w:suppressLineNumbers w:val="0"/>
        <w:jc w:val="left"/>
      </w:pPr>
      <w:r>
        <w:rPr>
          <w:rFonts w:hint="default" w:ascii="Calibri" w:hAnsi="Calibri" w:eastAsia="宋体" w:cs="Calibri"/>
          <w:color w:val="000000"/>
          <w:kern w:val="0"/>
          <w:sz w:val="24"/>
          <w:szCs w:val="24"/>
          <w:lang w:val="en-US" w:eastAsia="zh-CN" w:bidi="ar"/>
        </w:rPr>
        <w:t xml:space="preserve">3.2.5 </w:t>
      </w:r>
      <w:r>
        <w:rPr>
          <w:rFonts w:hint="eastAsia" w:ascii="宋体" w:hAnsi="宋体" w:eastAsia="宋体" w:cs="宋体"/>
          <w:color w:val="000000"/>
          <w:kern w:val="0"/>
          <w:sz w:val="24"/>
          <w:szCs w:val="24"/>
          <w:lang w:val="en-US" w:eastAsia="zh-CN" w:bidi="ar"/>
        </w:rPr>
        <w:t xml:space="preserve">通过投标文件第一个信封（商务及技术文件）初步评审的投标人不少于 </w:t>
      </w:r>
      <w:r>
        <w:rPr>
          <w:rFonts w:hint="default" w:ascii="Calibri" w:hAnsi="Calibri" w:eastAsia="宋体" w:cs="Calibri"/>
          <w:color w:val="000000"/>
          <w:kern w:val="0"/>
          <w:sz w:val="24"/>
          <w:szCs w:val="24"/>
          <w:lang w:val="en-US" w:eastAsia="zh-CN" w:bidi="ar"/>
        </w:rPr>
        <w:t xml:space="preserve">3 </w:t>
      </w:r>
    </w:p>
    <w:p w14:paraId="294E1480">
      <w:pPr>
        <w:keepNext w:val="0"/>
        <w:keepLines w:val="0"/>
        <w:widowControl/>
        <w:suppressLineNumbers w:val="0"/>
        <w:jc w:val="left"/>
      </w:pPr>
      <w:r>
        <w:rPr>
          <w:rFonts w:hint="eastAsia" w:ascii="宋体" w:hAnsi="宋体" w:eastAsia="宋体" w:cs="宋体"/>
          <w:color w:val="000000"/>
          <w:kern w:val="0"/>
          <w:sz w:val="24"/>
          <w:szCs w:val="24"/>
          <w:lang w:val="en-US" w:eastAsia="zh-CN" w:bidi="ar"/>
        </w:rPr>
        <w:t xml:space="preserve">个且未超过评标办法前附表第 </w:t>
      </w:r>
      <w:r>
        <w:rPr>
          <w:rFonts w:hint="default" w:ascii="Calibri" w:hAnsi="Calibri" w:eastAsia="宋体" w:cs="Calibri"/>
          <w:color w:val="000000"/>
          <w:kern w:val="0"/>
          <w:sz w:val="24"/>
          <w:szCs w:val="24"/>
          <w:lang w:val="en-US" w:eastAsia="zh-CN" w:bidi="ar"/>
        </w:rPr>
        <w:t xml:space="preserve">3.2.4 </w:t>
      </w:r>
      <w:r>
        <w:rPr>
          <w:rFonts w:hint="eastAsia" w:ascii="宋体" w:hAnsi="宋体" w:eastAsia="宋体" w:cs="宋体"/>
          <w:color w:val="000000"/>
          <w:kern w:val="0"/>
          <w:sz w:val="24"/>
          <w:szCs w:val="24"/>
          <w:lang w:val="en-US" w:eastAsia="zh-CN" w:bidi="ar"/>
        </w:rPr>
        <w:t xml:space="preserve">项规定数量的，均通过投标文件第一个信封（商 </w:t>
      </w:r>
    </w:p>
    <w:p w14:paraId="62502916">
      <w:pPr>
        <w:keepNext w:val="0"/>
        <w:keepLines w:val="0"/>
        <w:widowControl/>
        <w:suppressLineNumbers w:val="0"/>
        <w:jc w:val="left"/>
      </w:pPr>
      <w:r>
        <w:rPr>
          <w:rFonts w:hint="eastAsia" w:ascii="宋体" w:hAnsi="宋体" w:eastAsia="宋体" w:cs="宋体"/>
          <w:color w:val="000000"/>
          <w:kern w:val="0"/>
          <w:sz w:val="24"/>
          <w:szCs w:val="24"/>
          <w:lang w:val="en-US" w:eastAsia="zh-CN" w:bidi="ar"/>
        </w:rPr>
        <w:t>务及技术文件）详细评审，不再对投标人的商务和技术文件进行评分。</w:t>
      </w:r>
    </w:p>
    <w:p w14:paraId="6C3C7D81">
      <w:pPr>
        <w:pStyle w:val="2"/>
        <w:pageBreakBefore w:val="0"/>
        <w:kinsoku/>
        <w:wordWrap w:val="0"/>
        <w:bidi w:val="0"/>
        <w:spacing w:before="240" w:after="240" w:line="240" w:lineRule="atLeast"/>
        <w:outlineLvl w:val="2"/>
        <w:rPr>
          <w:rFonts w:hint="default" w:ascii="Times New Roman" w:hAnsi="Times New Roman" w:eastAsia="黑体" w:cs="Times New Roman"/>
          <w:b w:val="0"/>
          <w:color w:val="auto"/>
          <w:sz w:val="24"/>
          <w:szCs w:val="24"/>
          <w:highlight w:val="none"/>
        </w:rPr>
      </w:pPr>
      <w:r>
        <w:rPr>
          <w:rFonts w:hint="default" w:ascii="Times New Roman" w:hAnsi="Times New Roman" w:eastAsia="黑体" w:cs="Times New Roman"/>
          <w:b w:val="0"/>
          <w:color w:val="auto"/>
          <w:sz w:val="24"/>
          <w:szCs w:val="24"/>
          <w:highlight w:val="none"/>
        </w:rPr>
        <w:t>3.3</w:t>
      </w:r>
      <w:r>
        <w:rPr>
          <w:rFonts w:hint="default" w:ascii="Times New Roman" w:hAnsi="Times New Roman" w:eastAsia="黑体" w:cs="Times New Roman"/>
          <w:b w:val="0"/>
          <w:color w:val="auto"/>
          <w:sz w:val="24"/>
          <w:szCs w:val="24"/>
          <w:highlight w:val="none"/>
          <w:lang w:eastAsia="zh-CN"/>
        </w:rPr>
        <w:t xml:space="preserve"> </w:t>
      </w:r>
      <w:r>
        <w:rPr>
          <w:rFonts w:hint="default" w:ascii="Times New Roman" w:hAnsi="Times New Roman" w:eastAsia="黑体" w:cs="Times New Roman"/>
          <w:b w:val="0"/>
          <w:color w:val="auto"/>
          <w:sz w:val="24"/>
          <w:szCs w:val="24"/>
          <w:highlight w:val="none"/>
        </w:rPr>
        <w:t>第二个信封开标</w:t>
      </w:r>
      <w:bookmarkEnd w:id="28"/>
      <w:bookmarkEnd w:id="29"/>
      <w:bookmarkEnd w:id="30"/>
    </w:p>
    <w:p w14:paraId="222F57D8">
      <w:pPr>
        <w:keepNext w:val="0"/>
        <w:keepLines w:val="0"/>
        <w:widowControl/>
        <w:suppressLineNumbers w:val="0"/>
        <w:jc w:val="left"/>
      </w:pPr>
      <w:bookmarkStart w:id="31" w:name="_Toc14425"/>
      <w:bookmarkStart w:id="32" w:name="_Toc16446"/>
      <w:bookmarkStart w:id="33" w:name="_Toc1601"/>
      <w:r>
        <w:rPr>
          <w:rFonts w:hint="eastAsia" w:ascii="宋体" w:hAnsi="宋体" w:eastAsia="宋体" w:cs="宋体"/>
          <w:color w:val="000000"/>
          <w:kern w:val="0"/>
          <w:sz w:val="24"/>
          <w:szCs w:val="24"/>
          <w:lang w:val="en-US" w:eastAsia="zh-CN" w:bidi="ar"/>
        </w:rPr>
        <w:t xml:space="preserve">第一个信封（商务及技术文件）评审结束后，招标人将按照第二章“投标人须 </w:t>
      </w:r>
    </w:p>
    <w:p w14:paraId="4343B6D0">
      <w:pPr>
        <w:keepNext w:val="0"/>
        <w:keepLines w:val="0"/>
        <w:widowControl/>
        <w:suppressLineNumbers w:val="0"/>
        <w:jc w:val="left"/>
      </w:pPr>
      <w:r>
        <w:rPr>
          <w:rFonts w:hint="eastAsia" w:ascii="宋体" w:hAnsi="宋体" w:eastAsia="宋体" w:cs="宋体"/>
          <w:color w:val="000000"/>
          <w:kern w:val="0"/>
          <w:sz w:val="24"/>
          <w:szCs w:val="24"/>
          <w:lang w:val="en-US" w:eastAsia="zh-CN" w:bidi="ar"/>
        </w:rPr>
        <w:t xml:space="preserve">知”第 </w:t>
      </w:r>
      <w:r>
        <w:rPr>
          <w:rFonts w:ascii="Calibri" w:hAnsi="Calibri" w:eastAsia="宋体" w:cs="Calibri"/>
          <w:color w:val="000000"/>
          <w:kern w:val="0"/>
          <w:sz w:val="24"/>
          <w:szCs w:val="24"/>
          <w:lang w:val="en-US" w:eastAsia="zh-CN" w:bidi="ar"/>
        </w:rPr>
        <w:t xml:space="preserve">5.1 </w:t>
      </w:r>
      <w:r>
        <w:rPr>
          <w:rFonts w:hint="eastAsia" w:ascii="宋体" w:hAnsi="宋体" w:eastAsia="宋体" w:cs="宋体"/>
          <w:color w:val="000000"/>
          <w:kern w:val="0"/>
          <w:sz w:val="24"/>
          <w:szCs w:val="24"/>
          <w:lang w:val="en-US" w:eastAsia="zh-CN" w:bidi="ar"/>
        </w:rPr>
        <w:t xml:space="preserve">款规定的时间和地点对通过投标文件第一个信封（商务及技术文件）评 </w:t>
      </w:r>
    </w:p>
    <w:p w14:paraId="29EDBBF2">
      <w:pPr>
        <w:keepNext w:val="0"/>
        <w:keepLines w:val="0"/>
        <w:widowControl/>
        <w:suppressLineNumbers w:val="0"/>
        <w:jc w:val="left"/>
      </w:pPr>
      <w:r>
        <w:rPr>
          <w:rFonts w:hint="eastAsia" w:ascii="宋体" w:hAnsi="宋体" w:eastAsia="宋体" w:cs="宋体"/>
          <w:color w:val="000000"/>
          <w:kern w:val="0"/>
          <w:sz w:val="24"/>
          <w:szCs w:val="24"/>
          <w:lang w:val="en-US" w:eastAsia="zh-CN" w:bidi="ar"/>
        </w:rPr>
        <w:t>审的投标文件第二个信封（报价文件）进行开标。</w:t>
      </w:r>
    </w:p>
    <w:p w14:paraId="15E948D9">
      <w:pPr>
        <w:pStyle w:val="2"/>
        <w:pageBreakBefore w:val="0"/>
        <w:kinsoku/>
        <w:wordWrap w:val="0"/>
        <w:bidi w:val="0"/>
        <w:spacing w:before="240" w:after="240" w:line="240" w:lineRule="atLeast"/>
        <w:outlineLvl w:val="2"/>
        <w:rPr>
          <w:rFonts w:hint="default" w:ascii="Times New Roman" w:hAnsi="Times New Roman" w:eastAsia="黑体" w:cs="Times New Roman"/>
          <w:b w:val="0"/>
          <w:color w:val="auto"/>
          <w:sz w:val="24"/>
          <w:szCs w:val="24"/>
          <w:highlight w:val="none"/>
        </w:rPr>
      </w:pPr>
      <w:r>
        <w:rPr>
          <w:rFonts w:hint="default" w:ascii="Times New Roman" w:hAnsi="Times New Roman" w:eastAsia="黑体" w:cs="Times New Roman"/>
          <w:b w:val="0"/>
          <w:color w:val="auto"/>
          <w:sz w:val="24"/>
          <w:szCs w:val="24"/>
          <w:highlight w:val="none"/>
        </w:rPr>
        <w:t>3.4</w:t>
      </w:r>
      <w:r>
        <w:rPr>
          <w:rFonts w:hint="default" w:ascii="Times New Roman" w:hAnsi="Times New Roman" w:eastAsia="黑体" w:cs="Times New Roman"/>
          <w:b w:val="0"/>
          <w:color w:val="auto"/>
          <w:sz w:val="24"/>
          <w:szCs w:val="24"/>
          <w:highlight w:val="none"/>
          <w:lang w:eastAsia="zh-CN"/>
        </w:rPr>
        <w:t xml:space="preserve"> </w:t>
      </w:r>
      <w:r>
        <w:rPr>
          <w:rFonts w:hint="default" w:ascii="Times New Roman" w:hAnsi="Times New Roman" w:eastAsia="黑体" w:cs="Times New Roman"/>
          <w:b w:val="0"/>
          <w:color w:val="auto"/>
          <w:sz w:val="24"/>
          <w:szCs w:val="24"/>
          <w:highlight w:val="none"/>
        </w:rPr>
        <w:t>第二个信封初步评审</w:t>
      </w:r>
      <w:bookmarkEnd w:id="31"/>
      <w:bookmarkEnd w:id="32"/>
      <w:bookmarkEnd w:id="33"/>
    </w:p>
    <w:p w14:paraId="271188FB">
      <w:pPr>
        <w:keepNext w:val="0"/>
        <w:keepLines w:val="0"/>
        <w:widowControl/>
        <w:suppressLineNumbers w:val="0"/>
        <w:jc w:val="left"/>
      </w:pPr>
      <w:r>
        <w:rPr>
          <w:rFonts w:ascii="Calibri" w:hAnsi="Calibri" w:eastAsia="宋体" w:cs="Calibri"/>
          <w:color w:val="000000"/>
          <w:kern w:val="0"/>
          <w:sz w:val="24"/>
          <w:szCs w:val="24"/>
          <w:lang w:val="en-US" w:eastAsia="zh-CN" w:bidi="ar"/>
        </w:rPr>
        <w:t xml:space="preserve">3.4.1 </w:t>
      </w:r>
      <w:r>
        <w:rPr>
          <w:rFonts w:hint="eastAsia" w:ascii="宋体" w:hAnsi="宋体" w:eastAsia="宋体" w:cs="宋体"/>
          <w:color w:val="000000"/>
          <w:kern w:val="0"/>
          <w:sz w:val="24"/>
          <w:szCs w:val="24"/>
          <w:lang w:val="en-US" w:eastAsia="zh-CN" w:bidi="ar"/>
        </w:rPr>
        <w:t xml:space="preserve">评标委员会依据本章第 </w:t>
      </w:r>
      <w:r>
        <w:rPr>
          <w:rFonts w:hint="default" w:ascii="Calibri" w:hAnsi="Calibri" w:eastAsia="宋体" w:cs="Calibri"/>
          <w:color w:val="000000"/>
          <w:kern w:val="0"/>
          <w:sz w:val="24"/>
          <w:szCs w:val="24"/>
          <w:lang w:val="en-US" w:eastAsia="zh-CN" w:bidi="ar"/>
        </w:rPr>
        <w:t xml:space="preserve">2.1.1 </w:t>
      </w:r>
      <w:r>
        <w:rPr>
          <w:rFonts w:hint="eastAsia" w:ascii="宋体" w:hAnsi="宋体" w:eastAsia="宋体" w:cs="宋体"/>
          <w:color w:val="000000"/>
          <w:kern w:val="0"/>
          <w:sz w:val="24"/>
          <w:szCs w:val="24"/>
          <w:lang w:val="en-US" w:eastAsia="zh-CN" w:bidi="ar"/>
        </w:rPr>
        <w:t xml:space="preserve">项、第 </w:t>
      </w:r>
      <w:r>
        <w:rPr>
          <w:rFonts w:hint="default" w:ascii="Calibri" w:hAnsi="Calibri" w:eastAsia="宋体" w:cs="Calibri"/>
          <w:color w:val="000000"/>
          <w:kern w:val="0"/>
          <w:sz w:val="24"/>
          <w:szCs w:val="24"/>
          <w:lang w:val="en-US" w:eastAsia="zh-CN" w:bidi="ar"/>
        </w:rPr>
        <w:t xml:space="preserve">2.1.3 </w:t>
      </w:r>
      <w:r>
        <w:rPr>
          <w:rFonts w:hint="eastAsia" w:ascii="宋体" w:hAnsi="宋体" w:eastAsia="宋体" w:cs="宋体"/>
          <w:color w:val="000000"/>
          <w:kern w:val="0"/>
          <w:sz w:val="24"/>
          <w:szCs w:val="24"/>
          <w:lang w:val="en-US" w:eastAsia="zh-CN" w:bidi="ar"/>
        </w:rPr>
        <w:t xml:space="preserve">项规定的评审标准对投标文件第 </w:t>
      </w:r>
    </w:p>
    <w:p w14:paraId="270E5731">
      <w:pPr>
        <w:keepNext w:val="0"/>
        <w:keepLines w:val="0"/>
        <w:widowControl/>
        <w:suppressLineNumbers w:val="0"/>
        <w:jc w:val="left"/>
      </w:pPr>
      <w:r>
        <w:rPr>
          <w:rFonts w:hint="eastAsia" w:ascii="宋体" w:hAnsi="宋体" w:eastAsia="宋体" w:cs="宋体"/>
          <w:color w:val="000000"/>
          <w:kern w:val="0"/>
          <w:sz w:val="24"/>
          <w:szCs w:val="24"/>
          <w:lang w:val="en-US" w:eastAsia="zh-CN" w:bidi="ar"/>
        </w:rPr>
        <w:t xml:space="preserve">二个信封（报价文件）进行初步评审。有一项不符合评审标准的，评标委员会应否 </w:t>
      </w:r>
    </w:p>
    <w:p w14:paraId="4FA72E55">
      <w:pPr>
        <w:keepNext w:val="0"/>
        <w:keepLines w:val="0"/>
        <w:widowControl/>
        <w:suppressLineNumbers w:val="0"/>
        <w:jc w:val="left"/>
      </w:pPr>
      <w:r>
        <w:rPr>
          <w:rFonts w:hint="eastAsia" w:ascii="宋体" w:hAnsi="宋体" w:eastAsia="宋体" w:cs="宋体"/>
          <w:color w:val="000000"/>
          <w:kern w:val="0"/>
          <w:sz w:val="24"/>
          <w:szCs w:val="24"/>
          <w:lang w:val="en-US" w:eastAsia="zh-CN" w:bidi="ar"/>
        </w:rPr>
        <w:t>决其投标。</w:t>
      </w:r>
    </w:p>
    <w:p w14:paraId="025489A9">
      <w:pPr>
        <w:keepNext w:val="0"/>
        <w:keepLines w:val="0"/>
        <w:widowControl/>
        <w:suppressLineNumbers w:val="0"/>
        <w:jc w:val="left"/>
      </w:pPr>
      <w:r>
        <w:rPr>
          <w:rFonts w:hint="default" w:ascii="Times New Roman" w:hAnsi="Times New Roman" w:eastAsia="宋体" w:cs="Times New Roman"/>
          <w:color w:val="auto"/>
          <w:sz w:val="24"/>
          <w:highlight w:val="none"/>
        </w:rPr>
        <w:t>3.4.2</w:t>
      </w:r>
      <w:r>
        <w:rPr>
          <w:rFonts w:hint="eastAsia" w:cs="Times New Roman"/>
          <w:color w:val="auto"/>
          <w:sz w:val="24"/>
          <w:highlight w:val="none"/>
          <w:lang w:val="en-US" w:eastAsia="zh-CN"/>
        </w:rPr>
        <w:t xml:space="preserve"> </w:t>
      </w:r>
      <w:r>
        <w:rPr>
          <w:rFonts w:hint="eastAsia" w:ascii="宋体" w:hAnsi="宋体" w:eastAsia="宋体" w:cs="宋体"/>
          <w:color w:val="000000"/>
          <w:kern w:val="0"/>
          <w:sz w:val="24"/>
          <w:szCs w:val="24"/>
          <w:lang w:val="en-US" w:eastAsia="zh-CN" w:bidi="ar"/>
        </w:rPr>
        <w:t xml:space="preserve">投标报价有算术错误的，评标委员会按以下原则对投标报价进行修正，修正的价格经投标人书面确认后具有约束力。投标人不接受修正价格的，评标委员 </w:t>
      </w:r>
    </w:p>
    <w:p w14:paraId="2B78B913">
      <w:pPr>
        <w:keepNext w:val="0"/>
        <w:keepLines w:val="0"/>
        <w:widowControl/>
        <w:suppressLineNumbers w:val="0"/>
        <w:jc w:val="left"/>
      </w:pPr>
      <w:r>
        <w:rPr>
          <w:rFonts w:hint="eastAsia" w:ascii="宋体" w:hAnsi="宋体" w:eastAsia="宋体" w:cs="宋体"/>
          <w:color w:val="000000"/>
          <w:kern w:val="0"/>
          <w:sz w:val="24"/>
          <w:szCs w:val="24"/>
          <w:lang w:val="en-US" w:eastAsia="zh-CN" w:bidi="ar"/>
        </w:rPr>
        <w:t xml:space="preserve">会应否决其投标。 </w:t>
      </w:r>
    </w:p>
    <w:p w14:paraId="39838E79">
      <w:pPr>
        <w:keepNext w:val="0"/>
        <w:keepLines w:val="0"/>
        <w:widowControl/>
        <w:suppressLineNumbers w:val="0"/>
        <w:jc w:val="left"/>
      </w:pPr>
      <w:r>
        <w:rPr>
          <w:rFonts w:hint="eastAsia" w:ascii="宋体" w:hAnsi="宋体" w:eastAsia="宋体" w:cs="宋体"/>
          <w:color w:val="000000"/>
          <w:kern w:val="0"/>
          <w:sz w:val="24"/>
          <w:szCs w:val="24"/>
          <w:lang w:val="en-US" w:eastAsia="zh-CN" w:bidi="ar"/>
        </w:rPr>
        <w:t>（</w:t>
      </w:r>
      <w:r>
        <w:rPr>
          <w:rFonts w:ascii="Calibri" w:hAnsi="Calibri" w:eastAsia="宋体" w:cs="Calibri"/>
          <w:color w:val="000000"/>
          <w:kern w:val="0"/>
          <w:sz w:val="24"/>
          <w:szCs w:val="24"/>
          <w:lang w:val="en-US" w:eastAsia="zh-CN" w:bidi="ar"/>
        </w:rPr>
        <w:t>1</w:t>
      </w:r>
      <w:r>
        <w:rPr>
          <w:rFonts w:hint="eastAsia" w:ascii="宋体" w:hAnsi="宋体" w:eastAsia="宋体" w:cs="宋体"/>
          <w:color w:val="000000"/>
          <w:kern w:val="0"/>
          <w:sz w:val="24"/>
          <w:szCs w:val="24"/>
          <w:lang w:val="en-US" w:eastAsia="zh-CN" w:bidi="ar"/>
        </w:rPr>
        <w:t xml:space="preserve">）投标文件中的大写金额与小写金额不一致的，以大写金额为准； </w:t>
      </w:r>
    </w:p>
    <w:p w14:paraId="4144E0B9">
      <w:pPr>
        <w:keepNext w:val="0"/>
        <w:keepLines w:val="0"/>
        <w:widowControl/>
        <w:suppressLineNumbers w:val="0"/>
        <w:jc w:val="left"/>
      </w:pPr>
      <w:r>
        <w:rPr>
          <w:rFonts w:hint="eastAsia" w:ascii="宋体" w:hAnsi="宋体" w:eastAsia="宋体" w:cs="宋体"/>
          <w:color w:val="000000"/>
          <w:kern w:val="0"/>
          <w:sz w:val="24"/>
          <w:szCs w:val="24"/>
          <w:lang w:val="en-US" w:eastAsia="zh-CN" w:bidi="ar"/>
        </w:rPr>
        <w:t>（</w:t>
      </w:r>
      <w:r>
        <w:rPr>
          <w:rFonts w:hint="default" w:ascii="Calibri" w:hAnsi="Calibri" w:eastAsia="宋体" w:cs="Calibri"/>
          <w:color w:val="000000"/>
          <w:kern w:val="0"/>
          <w:sz w:val="24"/>
          <w:szCs w:val="24"/>
          <w:lang w:val="en-US" w:eastAsia="zh-CN" w:bidi="ar"/>
        </w:rPr>
        <w:t>2</w:t>
      </w:r>
      <w:r>
        <w:rPr>
          <w:rFonts w:hint="eastAsia" w:ascii="宋体" w:hAnsi="宋体" w:eastAsia="宋体" w:cs="宋体"/>
          <w:color w:val="000000"/>
          <w:kern w:val="0"/>
          <w:sz w:val="24"/>
          <w:szCs w:val="24"/>
          <w:lang w:val="en-US" w:eastAsia="zh-CN" w:bidi="ar"/>
        </w:rPr>
        <w:t xml:space="preserve">）总价金额与依据单价计算出的结果不一致的，以单价金额为准修正总价， </w:t>
      </w:r>
    </w:p>
    <w:p w14:paraId="6D1B1169">
      <w:pPr>
        <w:keepNext w:val="0"/>
        <w:keepLines w:val="0"/>
        <w:widowControl/>
        <w:suppressLineNumbers w:val="0"/>
        <w:jc w:val="left"/>
      </w:pPr>
      <w:r>
        <w:rPr>
          <w:rFonts w:hint="eastAsia" w:ascii="宋体" w:hAnsi="宋体" w:eastAsia="宋体" w:cs="宋体"/>
          <w:color w:val="000000"/>
          <w:kern w:val="0"/>
          <w:sz w:val="24"/>
          <w:szCs w:val="24"/>
          <w:lang w:val="en-US" w:eastAsia="zh-CN" w:bidi="ar"/>
        </w:rPr>
        <w:t>但单价金额小数点有明显错误的除外</w:t>
      </w:r>
      <w:r>
        <w:rPr>
          <w:rFonts w:hint="default" w:ascii="Calibri" w:hAnsi="Calibri" w:eastAsia="宋体" w:cs="Calibri"/>
          <w:color w:val="000000"/>
          <w:kern w:val="0"/>
          <w:sz w:val="24"/>
          <w:szCs w:val="24"/>
          <w:lang w:val="en-US" w:eastAsia="zh-CN" w:bidi="ar"/>
        </w:rPr>
        <w:t xml:space="preserve">; </w:t>
      </w:r>
    </w:p>
    <w:p w14:paraId="0157EDD1">
      <w:pPr>
        <w:keepNext w:val="0"/>
        <w:keepLines w:val="0"/>
        <w:widowControl/>
        <w:suppressLineNumbers w:val="0"/>
        <w:jc w:val="left"/>
      </w:pPr>
      <w:r>
        <w:rPr>
          <w:rFonts w:hint="eastAsia" w:ascii="宋体" w:hAnsi="宋体" w:eastAsia="宋体" w:cs="宋体"/>
          <w:color w:val="000000"/>
          <w:kern w:val="0"/>
          <w:sz w:val="24"/>
          <w:szCs w:val="24"/>
          <w:lang w:val="en-US" w:eastAsia="zh-CN" w:bidi="ar"/>
        </w:rPr>
        <w:t>（</w:t>
      </w:r>
      <w:r>
        <w:rPr>
          <w:rFonts w:hint="default" w:ascii="Calibri" w:hAnsi="Calibri" w:eastAsia="宋体" w:cs="Calibri"/>
          <w:color w:val="000000"/>
          <w:kern w:val="0"/>
          <w:sz w:val="24"/>
          <w:szCs w:val="24"/>
          <w:lang w:val="en-US" w:eastAsia="zh-CN" w:bidi="ar"/>
        </w:rPr>
        <w:t>3</w:t>
      </w:r>
      <w:r>
        <w:rPr>
          <w:rFonts w:hint="eastAsia" w:ascii="宋体" w:hAnsi="宋体" w:eastAsia="宋体" w:cs="宋体"/>
          <w:color w:val="000000"/>
          <w:kern w:val="0"/>
          <w:sz w:val="24"/>
          <w:szCs w:val="24"/>
          <w:lang w:val="en-US" w:eastAsia="zh-CN" w:bidi="ar"/>
        </w:rPr>
        <w:t xml:space="preserve">）当单价与数量相乘不等于合价时，以单价计算为准，如果单价有明显的小 </w:t>
      </w:r>
    </w:p>
    <w:p w14:paraId="5A6B4234">
      <w:pPr>
        <w:keepNext w:val="0"/>
        <w:keepLines w:val="0"/>
        <w:widowControl/>
        <w:suppressLineNumbers w:val="0"/>
        <w:jc w:val="left"/>
      </w:pPr>
      <w:r>
        <w:rPr>
          <w:rFonts w:hint="eastAsia" w:ascii="宋体" w:hAnsi="宋体" w:eastAsia="宋体" w:cs="宋体"/>
          <w:color w:val="000000"/>
          <w:kern w:val="0"/>
          <w:sz w:val="24"/>
          <w:szCs w:val="24"/>
          <w:lang w:val="en-US" w:eastAsia="zh-CN" w:bidi="ar"/>
        </w:rPr>
        <w:t xml:space="preserve">数点位置差错，应以标出的合价为准，同时对单价予以修正； </w:t>
      </w:r>
    </w:p>
    <w:p w14:paraId="1ACF80A3">
      <w:pPr>
        <w:keepNext w:val="0"/>
        <w:keepLines w:val="0"/>
        <w:widowControl/>
        <w:suppressLineNumbers w:val="0"/>
        <w:jc w:val="left"/>
      </w:pPr>
      <w:r>
        <w:rPr>
          <w:rFonts w:hint="eastAsia" w:ascii="宋体" w:hAnsi="宋体" w:eastAsia="宋体" w:cs="宋体"/>
          <w:color w:val="000000"/>
          <w:kern w:val="0"/>
          <w:sz w:val="24"/>
          <w:szCs w:val="24"/>
          <w:lang w:val="en-US" w:eastAsia="zh-CN" w:bidi="ar"/>
        </w:rPr>
        <w:t>（</w:t>
      </w:r>
      <w:r>
        <w:rPr>
          <w:rFonts w:hint="default" w:ascii="Calibri" w:hAnsi="Calibri" w:eastAsia="宋体" w:cs="Calibri"/>
          <w:color w:val="000000"/>
          <w:kern w:val="0"/>
          <w:sz w:val="24"/>
          <w:szCs w:val="24"/>
          <w:lang w:val="en-US" w:eastAsia="zh-CN" w:bidi="ar"/>
        </w:rPr>
        <w:t>4</w:t>
      </w:r>
      <w:r>
        <w:rPr>
          <w:rFonts w:hint="eastAsia" w:ascii="宋体" w:hAnsi="宋体" w:eastAsia="宋体" w:cs="宋体"/>
          <w:color w:val="000000"/>
          <w:kern w:val="0"/>
          <w:sz w:val="24"/>
          <w:szCs w:val="24"/>
          <w:lang w:val="en-US" w:eastAsia="zh-CN" w:bidi="ar"/>
        </w:rPr>
        <w:t xml:space="preserve">）当各子目的合价累计不等于总价时，应以各子目合价累计数为准，修正总 </w:t>
      </w:r>
    </w:p>
    <w:p w14:paraId="7B022CE2">
      <w:pPr>
        <w:keepNext w:val="0"/>
        <w:keepLines w:val="0"/>
        <w:widowControl/>
        <w:suppressLineNumbers w:val="0"/>
        <w:jc w:val="left"/>
      </w:pPr>
      <w:r>
        <w:rPr>
          <w:rFonts w:hint="eastAsia" w:ascii="宋体" w:hAnsi="宋体" w:eastAsia="宋体" w:cs="宋体"/>
          <w:color w:val="000000"/>
          <w:kern w:val="0"/>
          <w:sz w:val="24"/>
          <w:szCs w:val="24"/>
          <w:lang w:val="en-US" w:eastAsia="zh-CN" w:bidi="ar"/>
        </w:rPr>
        <w:t xml:space="preserve">价。 </w:t>
      </w:r>
    </w:p>
    <w:p w14:paraId="42FFF0F3">
      <w:pPr>
        <w:keepNext w:val="0"/>
        <w:keepLines w:val="0"/>
        <w:widowControl/>
        <w:suppressLineNumbers w:val="0"/>
        <w:jc w:val="left"/>
      </w:pPr>
      <w:r>
        <w:rPr>
          <w:rFonts w:hint="default" w:ascii="Calibri" w:hAnsi="Calibri" w:eastAsia="宋体" w:cs="Calibri"/>
          <w:color w:val="000000"/>
          <w:kern w:val="0"/>
          <w:sz w:val="24"/>
          <w:szCs w:val="24"/>
          <w:lang w:val="en-US" w:eastAsia="zh-CN" w:bidi="ar"/>
        </w:rPr>
        <w:t xml:space="preserve">3.4.3 </w:t>
      </w:r>
      <w:r>
        <w:rPr>
          <w:rFonts w:hint="eastAsia" w:ascii="宋体" w:hAnsi="宋体" w:eastAsia="宋体" w:cs="宋体"/>
          <w:color w:val="000000"/>
          <w:kern w:val="0"/>
          <w:sz w:val="24"/>
          <w:szCs w:val="24"/>
          <w:lang w:val="en-US" w:eastAsia="zh-CN" w:bidi="ar"/>
        </w:rPr>
        <w:t xml:space="preserve">工程量清单中的投标报价有其他错误的，评标委员会按以下原则对投标报 </w:t>
      </w:r>
    </w:p>
    <w:p w14:paraId="0558FDDA">
      <w:pPr>
        <w:keepNext w:val="0"/>
        <w:keepLines w:val="0"/>
        <w:widowControl/>
        <w:suppressLineNumbers w:val="0"/>
        <w:jc w:val="left"/>
      </w:pPr>
      <w:r>
        <w:rPr>
          <w:rFonts w:hint="eastAsia" w:ascii="宋体" w:hAnsi="宋体" w:eastAsia="宋体" w:cs="宋体"/>
          <w:color w:val="000000"/>
          <w:kern w:val="0"/>
          <w:sz w:val="24"/>
          <w:szCs w:val="24"/>
          <w:lang w:val="en-US" w:eastAsia="zh-CN" w:bidi="ar"/>
        </w:rPr>
        <w:t xml:space="preserve">价进行修正，修正的价格经投标人书面确认后具有约束力。投标人不接受修正价格 </w:t>
      </w:r>
    </w:p>
    <w:p w14:paraId="18CA892F">
      <w:pPr>
        <w:keepNext w:val="0"/>
        <w:keepLines w:val="0"/>
        <w:widowControl/>
        <w:suppressLineNumbers w:val="0"/>
        <w:jc w:val="left"/>
      </w:pPr>
      <w:r>
        <w:rPr>
          <w:rFonts w:hint="eastAsia" w:ascii="宋体" w:hAnsi="宋体" w:eastAsia="宋体" w:cs="宋体"/>
          <w:color w:val="000000"/>
          <w:kern w:val="0"/>
          <w:sz w:val="24"/>
          <w:szCs w:val="24"/>
          <w:lang w:val="en-US" w:eastAsia="zh-CN" w:bidi="ar"/>
        </w:rPr>
        <w:t xml:space="preserve">的，评标委员会应否决其投标。 </w:t>
      </w:r>
    </w:p>
    <w:p w14:paraId="6B05BDD5">
      <w:pPr>
        <w:keepNext w:val="0"/>
        <w:keepLines w:val="0"/>
        <w:widowControl/>
        <w:suppressLineNumbers w:val="0"/>
        <w:jc w:val="left"/>
      </w:pPr>
      <w:r>
        <w:rPr>
          <w:rFonts w:hint="eastAsia" w:ascii="宋体" w:hAnsi="宋体" w:eastAsia="宋体" w:cs="宋体"/>
          <w:color w:val="000000"/>
          <w:kern w:val="0"/>
          <w:sz w:val="24"/>
          <w:szCs w:val="24"/>
          <w:lang w:val="en-US" w:eastAsia="zh-CN" w:bidi="ar"/>
        </w:rPr>
        <w:t>（</w:t>
      </w:r>
      <w:r>
        <w:rPr>
          <w:rFonts w:hint="default" w:ascii="Calibri" w:hAnsi="Calibri" w:eastAsia="宋体" w:cs="Calibri"/>
          <w:color w:val="000000"/>
          <w:kern w:val="0"/>
          <w:sz w:val="24"/>
          <w:szCs w:val="24"/>
          <w:lang w:val="en-US" w:eastAsia="zh-CN" w:bidi="ar"/>
        </w:rPr>
        <w:t>1</w:t>
      </w:r>
      <w:r>
        <w:rPr>
          <w:rFonts w:hint="eastAsia" w:ascii="宋体" w:hAnsi="宋体" w:eastAsia="宋体" w:cs="宋体"/>
          <w:color w:val="000000"/>
          <w:kern w:val="0"/>
          <w:sz w:val="24"/>
          <w:szCs w:val="24"/>
          <w:lang w:val="en-US" w:eastAsia="zh-CN" w:bidi="ar"/>
        </w:rPr>
        <w:t xml:space="preserve">）在招标人给定的工程量清单中漏报了某个工程子目的单价、合价或总额价， </w:t>
      </w:r>
    </w:p>
    <w:p w14:paraId="0DDA0FE7">
      <w:pPr>
        <w:keepNext w:val="0"/>
        <w:keepLines w:val="0"/>
        <w:widowControl/>
        <w:suppressLineNumbers w:val="0"/>
        <w:jc w:val="left"/>
      </w:pPr>
      <w:r>
        <w:rPr>
          <w:rFonts w:hint="eastAsia" w:ascii="宋体" w:hAnsi="宋体" w:eastAsia="宋体" w:cs="宋体"/>
          <w:color w:val="000000"/>
          <w:kern w:val="0"/>
          <w:sz w:val="24"/>
          <w:szCs w:val="24"/>
          <w:lang w:val="en-US" w:eastAsia="zh-CN" w:bidi="ar"/>
        </w:rPr>
        <w:t xml:space="preserve">或所报单价、合价或总额价减少了报价范围，则漏报的工程子目单价、合价和总额 </w:t>
      </w:r>
    </w:p>
    <w:p w14:paraId="51D635DF">
      <w:pPr>
        <w:keepNext w:val="0"/>
        <w:keepLines w:val="0"/>
        <w:widowControl/>
        <w:suppressLineNumbers w:val="0"/>
        <w:jc w:val="left"/>
      </w:pPr>
      <w:r>
        <w:rPr>
          <w:rFonts w:hint="eastAsia" w:ascii="宋体" w:hAnsi="宋体" w:eastAsia="宋体" w:cs="宋体"/>
          <w:color w:val="000000"/>
          <w:kern w:val="0"/>
          <w:sz w:val="24"/>
          <w:szCs w:val="24"/>
          <w:lang w:val="en-US" w:eastAsia="zh-CN" w:bidi="ar"/>
        </w:rPr>
        <w:t xml:space="preserve">价或单价、合价和总额价中减少的报价内容视为已含入其他工程子目的单价、合价 </w:t>
      </w:r>
    </w:p>
    <w:p w14:paraId="644AD449">
      <w:pPr>
        <w:keepNext w:val="0"/>
        <w:keepLines w:val="0"/>
        <w:widowControl/>
        <w:suppressLineNumbers w:val="0"/>
        <w:jc w:val="left"/>
      </w:pPr>
      <w:r>
        <w:rPr>
          <w:rFonts w:hint="eastAsia" w:ascii="宋体" w:hAnsi="宋体" w:eastAsia="宋体" w:cs="宋体"/>
          <w:color w:val="000000"/>
          <w:kern w:val="0"/>
          <w:sz w:val="24"/>
          <w:szCs w:val="24"/>
          <w:lang w:val="en-US" w:eastAsia="zh-CN" w:bidi="ar"/>
        </w:rPr>
        <w:t xml:space="preserve">和总额价之中。 </w:t>
      </w:r>
    </w:p>
    <w:p w14:paraId="72D9E52F">
      <w:pPr>
        <w:keepNext w:val="0"/>
        <w:keepLines w:val="0"/>
        <w:widowControl/>
        <w:suppressLineNumbers w:val="0"/>
        <w:jc w:val="left"/>
      </w:pPr>
      <w:r>
        <w:rPr>
          <w:rFonts w:hint="eastAsia" w:ascii="宋体" w:hAnsi="宋体" w:eastAsia="宋体" w:cs="宋体"/>
          <w:color w:val="000000"/>
          <w:kern w:val="0"/>
          <w:sz w:val="24"/>
          <w:szCs w:val="24"/>
          <w:lang w:val="en-US" w:eastAsia="zh-CN" w:bidi="ar"/>
        </w:rPr>
        <w:t>（</w:t>
      </w:r>
      <w:r>
        <w:rPr>
          <w:rFonts w:hint="default" w:ascii="Calibri" w:hAnsi="Calibri" w:eastAsia="宋体" w:cs="Calibri"/>
          <w:color w:val="000000"/>
          <w:kern w:val="0"/>
          <w:sz w:val="24"/>
          <w:szCs w:val="24"/>
          <w:lang w:val="en-US" w:eastAsia="zh-CN" w:bidi="ar"/>
        </w:rPr>
        <w:t>2</w:t>
      </w:r>
      <w:r>
        <w:rPr>
          <w:rFonts w:hint="eastAsia" w:ascii="宋体" w:hAnsi="宋体" w:eastAsia="宋体" w:cs="宋体"/>
          <w:color w:val="000000"/>
          <w:kern w:val="0"/>
          <w:sz w:val="24"/>
          <w:szCs w:val="24"/>
          <w:lang w:val="en-US" w:eastAsia="zh-CN" w:bidi="ar"/>
        </w:rPr>
        <w:t xml:space="preserve">）在招标人给定的工程量清单中多报了某个工程子目的单价、合价或总额价， </w:t>
      </w:r>
    </w:p>
    <w:p w14:paraId="471FADEB">
      <w:pPr>
        <w:keepNext w:val="0"/>
        <w:keepLines w:val="0"/>
        <w:widowControl/>
        <w:suppressLineNumbers w:val="0"/>
        <w:jc w:val="left"/>
      </w:pPr>
      <w:r>
        <w:rPr>
          <w:rFonts w:hint="eastAsia" w:ascii="宋体" w:hAnsi="宋体" w:eastAsia="宋体" w:cs="宋体"/>
          <w:color w:val="000000"/>
          <w:kern w:val="0"/>
          <w:sz w:val="24"/>
          <w:szCs w:val="24"/>
          <w:lang w:val="en-US" w:eastAsia="zh-CN" w:bidi="ar"/>
        </w:rPr>
        <w:t xml:space="preserve">或所报单价、合价或总额价增加了报价范围，则从投标报价中扣除多报的工程子目 </w:t>
      </w:r>
    </w:p>
    <w:p w14:paraId="7B4120FE">
      <w:pPr>
        <w:keepNext w:val="0"/>
        <w:keepLines w:val="0"/>
        <w:widowControl/>
        <w:suppressLineNumbers w:val="0"/>
        <w:jc w:val="left"/>
      </w:pPr>
      <w:r>
        <w:rPr>
          <w:rFonts w:hint="eastAsia" w:ascii="宋体" w:hAnsi="宋体" w:eastAsia="宋体" w:cs="宋体"/>
          <w:color w:val="000000"/>
          <w:kern w:val="0"/>
          <w:sz w:val="24"/>
          <w:szCs w:val="24"/>
          <w:lang w:val="en-US" w:eastAsia="zh-CN" w:bidi="ar"/>
        </w:rPr>
        <w:t xml:space="preserve">报价或工程子目报价中增加了报价范围的部分报价。 </w:t>
      </w:r>
    </w:p>
    <w:p w14:paraId="6AF131A4">
      <w:pPr>
        <w:keepNext w:val="0"/>
        <w:keepLines w:val="0"/>
        <w:widowControl/>
        <w:suppressLineNumbers w:val="0"/>
        <w:jc w:val="left"/>
      </w:pPr>
      <w:r>
        <w:rPr>
          <w:rFonts w:hint="eastAsia" w:ascii="宋体" w:hAnsi="宋体" w:eastAsia="宋体" w:cs="宋体"/>
          <w:color w:val="000000"/>
          <w:kern w:val="0"/>
          <w:sz w:val="24"/>
          <w:szCs w:val="24"/>
          <w:lang w:val="en-US" w:eastAsia="zh-CN" w:bidi="ar"/>
        </w:rPr>
        <w:t>（</w:t>
      </w:r>
      <w:r>
        <w:rPr>
          <w:rFonts w:hint="default" w:ascii="Calibri" w:hAnsi="Calibri" w:eastAsia="宋体" w:cs="Calibri"/>
          <w:color w:val="000000"/>
          <w:kern w:val="0"/>
          <w:sz w:val="24"/>
          <w:szCs w:val="24"/>
          <w:lang w:val="en-US" w:eastAsia="zh-CN" w:bidi="ar"/>
        </w:rPr>
        <w:t>3</w:t>
      </w:r>
      <w:r>
        <w:rPr>
          <w:rFonts w:hint="eastAsia" w:ascii="宋体" w:hAnsi="宋体" w:eastAsia="宋体" w:cs="宋体"/>
          <w:color w:val="000000"/>
          <w:kern w:val="0"/>
          <w:sz w:val="24"/>
          <w:szCs w:val="24"/>
          <w:lang w:val="en-US" w:eastAsia="zh-CN" w:bidi="ar"/>
        </w:rPr>
        <w:t xml:space="preserve">）当单价与数量的乘积与合价（金额）虽然一致，但投标人修改了该子目的 </w:t>
      </w:r>
    </w:p>
    <w:p w14:paraId="1458FE1F">
      <w:pPr>
        <w:keepNext w:val="0"/>
        <w:keepLines w:val="0"/>
        <w:widowControl/>
        <w:suppressLineNumbers w:val="0"/>
        <w:jc w:val="left"/>
      </w:pPr>
      <w:r>
        <w:rPr>
          <w:rFonts w:hint="eastAsia" w:ascii="宋体" w:hAnsi="宋体" w:eastAsia="宋体" w:cs="宋体"/>
          <w:color w:val="000000"/>
          <w:kern w:val="0"/>
          <w:sz w:val="24"/>
          <w:szCs w:val="24"/>
          <w:lang w:val="en-US" w:eastAsia="zh-CN" w:bidi="ar"/>
        </w:rPr>
        <w:t xml:space="preserve">工程数量，则其合价按招标人给定的工程数量乘以投标人所报单价予以修正。 </w:t>
      </w:r>
    </w:p>
    <w:p w14:paraId="39237770">
      <w:pPr>
        <w:keepNext w:val="0"/>
        <w:keepLines w:val="0"/>
        <w:widowControl/>
        <w:suppressLineNumbers w:val="0"/>
        <w:jc w:val="left"/>
      </w:pPr>
      <w:r>
        <w:rPr>
          <w:rFonts w:hint="default" w:ascii="Calibri" w:hAnsi="Calibri" w:eastAsia="宋体" w:cs="Calibri"/>
          <w:color w:val="000000"/>
          <w:kern w:val="0"/>
          <w:sz w:val="24"/>
          <w:szCs w:val="24"/>
          <w:lang w:val="en-US" w:eastAsia="zh-CN" w:bidi="ar"/>
        </w:rPr>
        <w:t xml:space="preserve">3.4.4 </w:t>
      </w:r>
      <w:r>
        <w:rPr>
          <w:rFonts w:hint="eastAsia" w:ascii="宋体" w:hAnsi="宋体" w:eastAsia="宋体" w:cs="宋体"/>
          <w:color w:val="000000"/>
          <w:kern w:val="0"/>
          <w:sz w:val="24"/>
          <w:szCs w:val="24"/>
          <w:lang w:val="en-US" w:eastAsia="zh-CN" w:bidi="ar"/>
        </w:rPr>
        <w:t xml:space="preserve">修正后的最终投标报价若超过最高投标限价（如有），评标委员会应否决 </w:t>
      </w:r>
    </w:p>
    <w:p w14:paraId="6DED73D1">
      <w:pPr>
        <w:keepNext w:val="0"/>
        <w:keepLines w:val="0"/>
        <w:widowControl/>
        <w:suppressLineNumbers w:val="0"/>
        <w:jc w:val="left"/>
      </w:pPr>
      <w:r>
        <w:rPr>
          <w:rFonts w:hint="eastAsia" w:ascii="宋体" w:hAnsi="宋体" w:eastAsia="宋体" w:cs="宋体"/>
          <w:color w:val="000000"/>
          <w:kern w:val="0"/>
          <w:sz w:val="24"/>
          <w:szCs w:val="24"/>
          <w:lang w:val="en-US" w:eastAsia="zh-CN" w:bidi="ar"/>
        </w:rPr>
        <w:t>其投标。</w:t>
      </w:r>
    </w:p>
    <w:p w14:paraId="36A379C5">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p>
    <w:p w14:paraId="7D7D253C">
      <w:pPr>
        <w:pStyle w:val="2"/>
        <w:pageBreakBefore w:val="0"/>
        <w:kinsoku/>
        <w:wordWrap w:val="0"/>
        <w:bidi w:val="0"/>
        <w:spacing w:before="240" w:after="240" w:line="240" w:lineRule="atLeast"/>
        <w:outlineLvl w:val="2"/>
        <w:rPr>
          <w:rFonts w:hint="default" w:ascii="Times New Roman" w:hAnsi="Times New Roman" w:eastAsia="黑体" w:cs="Times New Roman"/>
          <w:b w:val="0"/>
          <w:color w:val="auto"/>
          <w:sz w:val="24"/>
          <w:szCs w:val="24"/>
          <w:highlight w:val="none"/>
        </w:rPr>
      </w:pPr>
      <w:bookmarkStart w:id="34" w:name="_Toc28906"/>
      <w:bookmarkStart w:id="35" w:name="_Toc26043"/>
      <w:bookmarkStart w:id="36" w:name="_Toc10632"/>
      <w:r>
        <w:rPr>
          <w:rFonts w:hint="default" w:ascii="Times New Roman" w:hAnsi="Times New Roman" w:eastAsia="黑体" w:cs="Times New Roman"/>
          <w:b w:val="0"/>
          <w:color w:val="auto"/>
          <w:sz w:val="24"/>
          <w:szCs w:val="24"/>
          <w:highlight w:val="none"/>
        </w:rPr>
        <w:t>3.5</w:t>
      </w:r>
      <w:r>
        <w:rPr>
          <w:rFonts w:hint="default" w:ascii="Times New Roman" w:hAnsi="Times New Roman" w:eastAsia="黑体" w:cs="Times New Roman"/>
          <w:b w:val="0"/>
          <w:color w:val="auto"/>
          <w:sz w:val="24"/>
          <w:szCs w:val="24"/>
          <w:highlight w:val="none"/>
          <w:lang w:eastAsia="zh-CN"/>
        </w:rPr>
        <w:t xml:space="preserve"> </w:t>
      </w:r>
      <w:r>
        <w:rPr>
          <w:rFonts w:hint="default" w:ascii="Times New Roman" w:hAnsi="Times New Roman" w:eastAsia="黑体" w:cs="Times New Roman"/>
          <w:b w:val="0"/>
          <w:color w:val="auto"/>
          <w:sz w:val="24"/>
          <w:szCs w:val="24"/>
          <w:highlight w:val="none"/>
        </w:rPr>
        <w:t>第二个信封详细评审</w:t>
      </w:r>
      <w:bookmarkEnd w:id="34"/>
      <w:bookmarkEnd w:id="35"/>
      <w:bookmarkEnd w:id="36"/>
    </w:p>
    <w:p w14:paraId="5F83B176">
      <w:pPr>
        <w:keepNext w:val="0"/>
        <w:keepLines w:val="0"/>
        <w:widowControl/>
        <w:suppressLineNumbers w:val="0"/>
        <w:jc w:val="left"/>
      </w:pPr>
      <w:r>
        <w:rPr>
          <w:rFonts w:ascii="Calibri" w:hAnsi="Calibri" w:eastAsia="宋体" w:cs="Calibri"/>
          <w:color w:val="000000"/>
          <w:kern w:val="0"/>
          <w:sz w:val="24"/>
          <w:szCs w:val="24"/>
          <w:lang w:val="en-US" w:eastAsia="zh-CN" w:bidi="ar"/>
        </w:rPr>
        <w:t xml:space="preserve">3.5.1 </w:t>
      </w:r>
      <w:r>
        <w:rPr>
          <w:rFonts w:hint="eastAsia" w:ascii="宋体" w:hAnsi="宋体" w:eastAsia="宋体" w:cs="宋体"/>
          <w:color w:val="000000"/>
          <w:kern w:val="0"/>
          <w:sz w:val="24"/>
          <w:szCs w:val="24"/>
          <w:lang w:val="en-US" w:eastAsia="zh-CN" w:bidi="ar"/>
        </w:rPr>
        <w:t xml:space="preserve">评标委员会按本章第 </w:t>
      </w:r>
      <w:r>
        <w:rPr>
          <w:rFonts w:hint="default" w:ascii="Calibri" w:hAnsi="Calibri" w:eastAsia="宋体" w:cs="Calibri"/>
          <w:color w:val="000000"/>
          <w:kern w:val="0"/>
          <w:sz w:val="24"/>
          <w:szCs w:val="24"/>
          <w:lang w:val="en-US" w:eastAsia="zh-CN" w:bidi="ar"/>
        </w:rPr>
        <w:t xml:space="preserve">2.2 </w:t>
      </w:r>
      <w:r>
        <w:rPr>
          <w:rFonts w:hint="eastAsia" w:ascii="宋体" w:hAnsi="宋体" w:eastAsia="宋体" w:cs="宋体"/>
          <w:color w:val="000000"/>
          <w:kern w:val="0"/>
          <w:sz w:val="24"/>
          <w:szCs w:val="24"/>
          <w:lang w:val="en-US" w:eastAsia="zh-CN" w:bidi="ar"/>
        </w:rPr>
        <w:t xml:space="preserve">款规定的量化因素和标准进行价格折算，计算出 </w:t>
      </w:r>
    </w:p>
    <w:p w14:paraId="49493FF8">
      <w:pPr>
        <w:keepNext w:val="0"/>
        <w:keepLines w:val="0"/>
        <w:widowControl/>
        <w:suppressLineNumbers w:val="0"/>
        <w:jc w:val="left"/>
      </w:pPr>
      <w:r>
        <w:rPr>
          <w:rFonts w:hint="eastAsia" w:ascii="宋体" w:hAnsi="宋体" w:eastAsia="宋体" w:cs="宋体"/>
          <w:color w:val="000000"/>
          <w:kern w:val="0"/>
          <w:sz w:val="24"/>
          <w:szCs w:val="24"/>
          <w:lang w:val="en-US" w:eastAsia="zh-CN" w:bidi="ar"/>
        </w:rPr>
        <w:t xml:space="preserve">评标价，并编制价格比较一览表。 </w:t>
      </w:r>
    </w:p>
    <w:p w14:paraId="5DC28B0C">
      <w:pPr>
        <w:keepNext w:val="0"/>
        <w:keepLines w:val="0"/>
        <w:widowControl/>
        <w:suppressLineNumbers w:val="0"/>
        <w:jc w:val="left"/>
      </w:pPr>
      <w:r>
        <w:rPr>
          <w:rFonts w:hint="default" w:ascii="Calibri" w:hAnsi="Calibri" w:eastAsia="宋体" w:cs="Calibri"/>
          <w:color w:val="000000"/>
          <w:kern w:val="0"/>
          <w:sz w:val="24"/>
          <w:szCs w:val="24"/>
          <w:lang w:val="en-US" w:eastAsia="zh-CN" w:bidi="ar"/>
        </w:rPr>
        <w:t xml:space="preserve">3.5.2 </w:t>
      </w:r>
      <w:r>
        <w:rPr>
          <w:rFonts w:hint="eastAsia" w:ascii="宋体" w:hAnsi="宋体" w:eastAsia="宋体" w:cs="宋体"/>
          <w:color w:val="000000"/>
          <w:kern w:val="0"/>
          <w:sz w:val="24"/>
          <w:szCs w:val="24"/>
          <w:lang w:val="en-US" w:eastAsia="zh-CN" w:bidi="ar"/>
        </w:rPr>
        <w:t xml:space="preserve">评标委员会发现投标人的报价明显低于其他投标报价，使得其投标报价可 </w:t>
      </w:r>
    </w:p>
    <w:p w14:paraId="1299E78F">
      <w:pPr>
        <w:keepNext w:val="0"/>
        <w:keepLines w:val="0"/>
        <w:widowControl/>
        <w:suppressLineNumbers w:val="0"/>
        <w:jc w:val="left"/>
      </w:pPr>
      <w:r>
        <w:rPr>
          <w:rFonts w:hint="eastAsia" w:ascii="宋体" w:hAnsi="宋体" w:eastAsia="宋体" w:cs="宋体"/>
          <w:color w:val="000000"/>
          <w:kern w:val="0"/>
          <w:sz w:val="24"/>
          <w:szCs w:val="24"/>
          <w:lang w:val="en-US" w:eastAsia="zh-CN" w:bidi="ar"/>
        </w:rPr>
        <w:t xml:space="preserve">能低于其个别成本的，应要求该投标人作出书面说明并提供相应的证明材料。投标 </w:t>
      </w:r>
    </w:p>
    <w:p w14:paraId="0521D5A9">
      <w:pPr>
        <w:keepNext w:val="0"/>
        <w:keepLines w:val="0"/>
        <w:widowControl/>
        <w:suppressLineNumbers w:val="0"/>
        <w:jc w:val="left"/>
      </w:pPr>
      <w:r>
        <w:rPr>
          <w:rFonts w:hint="eastAsia" w:ascii="宋体" w:hAnsi="宋体" w:eastAsia="宋体" w:cs="宋体"/>
          <w:color w:val="000000"/>
          <w:kern w:val="0"/>
          <w:sz w:val="24"/>
          <w:szCs w:val="24"/>
          <w:lang w:val="en-US" w:eastAsia="zh-CN" w:bidi="ar"/>
        </w:rPr>
        <w:t xml:space="preserve">人不能合理说明或不能提供相应证明材料的，由评标委员会认定该投标人以低于成 </w:t>
      </w:r>
    </w:p>
    <w:p w14:paraId="363A6E45">
      <w:pPr>
        <w:keepNext w:val="0"/>
        <w:keepLines w:val="0"/>
        <w:widowControl/>
        <w:suppressLineNumbers w:val="0"/>
        <w:jc w:val="left"/>
      </w:pPr>
      <w:r>
        <w:rPr>
          <w:rFonts w:hint="eastAsia" w:ascii="宋体" w:hAnsi="宋体" w:eastAsia="宋体" w:cs="宋体"/>
          <w:color w:val="000000"/>
          <w:kern w:val="0"/>
          <w:sz w:val="24"/>
          <w:szCs w:val="24"/>
          <w:lang w:val="en-US" w:eastAsia="zh-CN" w:bidi="ar"/>
        </w:rPr>
        <w:t>本报价竞标，并否决其投标。</w:t>
      </w:r>
    </w:p>
    <w:p w14:paraId="1E6AD56E">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p>
    <w:p w14:paraId="364B9EAD">
      <w:pPr>
        <w:pStyle w:val="2"/>
        <w:pageBreakBefore w:val="0"/>
        <w:kinsoku/>
        <w:wordWrap w:val="0"/>
        <w:bidi w:val="0"/>
        <w:spacing w:before="240" w:after="240" w:line="240" w:lineRule="atLeast"/>
        <w:outlineLvl w:val="2"/>
        <w:rPr>
          <w:rFonts w:hint="default" w:ascii="Times New Roman" w:hAnsi="Times New Roman" w:eastAsia="黑体" w:cs="Times New Roman"/>
          <w:b w:val="0"/>
          <w:color w:val="auto"/>
          <w:sz w:val="24"/>
          <w:szCs w:val="24"/>
          <w:highlight w:val="none"/>
        </w:rPr>
      </w:pPr>
      <w:bookmarkStart w:id="37" w:name="_Toc136"/>
      <w:bookmarkStart w:id="38" w:name="_Toc5388"/>
      <w:bookmarkStart w:id="39" w:name="_Toc30852"/>
      <w:r>
        <w:rPr>
          <w:rFonts w:hint="default" w:ascii="Times New Roman" w:hAnsi="Times New Roman" w:eastAsia="黑体" w:cs="Times New Roman"/>
          <w:b w:val="0"/>
          <w:color w:val="auto"/>
          <w:sz w:val="24"/>
          <w:szCs w:val="24"/>
          <w:highlight w:val="none"/>
        </w:rPr>
        <w:t>3.6</w:t>
      </w:r>
      <w:r>
        <w:rPr>
          <w:rFonts w:hint="default" w:ascii="Times New Roman" w:hAnsi="Times New Roman" w:eastAsia="黑体" w:cs="Times New Roman"/>
          <w:b w:val="0"/>
          <w:color w:val="auto"/>
          <w:sz w:val="24"/>
          <w:szCs w:val="24"/>
          <w:highlight w:val="none"/>
          <w:lang w:eastAsia="zh-CN"/>
        </w:rPr>
        <w:t xml:space="preserve"> </w:t>
      </w:r>
      <w:r>
        <w:rPr>
          <w:rFonts w:hint="default" w:ascii="Times New Roman" w:hAnsi="Times New Roman" w:eastAsia="黑体" w:cs="Times New Roman"/>
          <w:b w:val="0"/>
          <w:color w:val="auto"/>
          <w:sz w:val="24"/>
          <w:szCs w:val="24"/>
          <w:highlight w:val="none"/>
        </w:rPr>
        <w:t>投标文件相关信息的核查</w:t>
      </w:r>
      <w:bookmarkEnd w:id="37"/>
      <w:bookmarkEnd w:id="38"/>
      <w:bookmarkEnd w:id="39"/>
    </w:p>
    <w:p w14:paraId="7FB2E90B">
      <w:pPr>
        <w:keepNext w:val="0"/>
        <w:keepLines w:val="0"/>
        <w:widowControl/>
        <w:suppressLineNumbers w:val="0"/>
        <w:jc w:val="left"/>
      </w:pPr>
      <w:r>
        <w:rPr>
          <w:rFonts w:ascii="Calibri" w:hAnsi="Calibri" w:eastAsia="宋体" w:cs="Calibri"/>
          <w:color w:val="000000"/>
          <w:kern w:val="0"/>
          <w:sz w:val="24"/>
          <w:szCs w:val="24"/>
          <w:lang w:val="en-US" w:eastAsia="zh-CN" w:bidi="ar"/>
        </w:rPr>
        <w:t xml:space="preserve">3.6.1 </w:t>
      </w:r>
      <w:r>
        <w:rPr>
          <w:rFonts w:hint="eastAsia" w:ascii="宋体" w:hAnsi="宋体" w:eastAsia="宋体" w:cs="宋体"/>
          <w:color w:val="000000"/>
          <w:kern w:val="0"/>
          <w:sz w:val="24"/>
          <w:szCs w:val="24"/>
          <w:lang w:val="en-US" w:eastAsia="zh-CN" w:bidi="ar"/>
        </w:rPr>
        <w:t xml:space="preserve">在评标过程中，评标委员会应查询交通运输主管部门“公路建设市场信用 </w:t>
      </w:r>
    </w:p>
    <w:p w14:paraId="6B2541FA">
      <w:pPr>
        <w:keepNext w:val="0"/>
        <w:keepLines w:val="0"/>
        <w:widowControl/>
        <w:suppressLineNumbers w:val="0"/>
        <w:jc w:val="left"/>
      </w:pPr>
      <w:r>
        <w:rPr>
          <w:rFonts w:hint="eastAsia" w:ascii="宋体" w:hAnsi="宋体" w:eastAsia="宋体" w:cs="宋体"/>
          <w:color w:val="000000"/>
          <w:kern w:val="0"/>
          <w:sz w:val="24"/>
          <w:szCs w:val="24"/>
          <w:lang w:val="en-US" w:eastAsia="zh-CN" w:bidi="ar"/>
        </w:rPr>
        <w:t xml:space="preserve">信息管理系统”，对投标人的资质、业绩、主要人员资历和目前在岗情况、信用等级 </w:t>
      </w:r>
    </w:p>
    <w:p w14:paraId="02629E52">
      <w:pPr>
        <w:keepNext w:val="0"/>
        <w:keepLines w:val="0"/>
        <w:widowControl/>
        <w:suppressLineNumbers w:val="0"/>
        <w:jc w:val="left"/>
      </w:pPr>
      <w:r>
        <w:rPr>
          <w:rFonts w:hint="eastAsia" w:ascii="宋体" w:hAnsi="宋体" w:eastAsia="宋体" w:cs="宋体"/>
          <w:color w:val="000000"/>
          <w:kern w:val="0"/>
          <w:sz w:val="24"/>
          <w:szCs w:val="24"/>
          <w:lang w:val="en-US" w:eastAsia="zh-CN" w:bidi="ar"/>
        </w:rPr>
        <w:t xml:space="preserve">等信息进行核实。若投标文件载明的信息与交通运输主管部门“公路建设市场信用 </w:t>
      </w:r>
    </w:p>
    <w:p w14:paraId="2E9FAF37">
      <w:pPr>
        <w:keepNext w:val="0"/>
        <w:keepLines w:val="0"/>
        <w:widowControl/>
        <w:suppressLineNumbers w:val="0"/>
        <w:jc w:val="left"/>
      </w:pPr>
      <w:r>
        <w:rPr>
          <w:rFonts w:hint="eastAsia" w:ascii="宋体" w:hAnsi="宋体" w:eastAsia="宋体" w:cs="宋体"/>
          <w:color w:val="000000"/>
          <w:kern w:val="0"/>
          <w:sz w:val="24"/>
          <w:szCs w:val="24"/>
          <w:lang w:val="en-US" w:eastAsia="zh-CN" w:bidi="ar"/>
        </w:rPr>
        <w:t xml:space="preserve">信息管理系统”发布的信息不符，使得投标人的资格条件不符合招标文件规定的， </w:t>
      </w:r>
    </w:p>
    <w:p w14:paraId="6D1CFAC5">
      <w:pPr>
        <w:keepNext w:val="0"/>
        <w:keepLines w:val="0"/>
        <w:widowControl/>
        <w:suppressLineNumbers w:val="0"/>
        <w:jc w:val="left"/>
      </w:pPr>
      <w:r>
        <w:rPr>
          <w:rFonts w:hint="eastAsia" w:ascii="宋体" w:hAnsi="宋体" w:eastAsia="宋体" w:cs="宋体"/>
          <w:color w:val="000000"/>
          <w:kern w:val="0"/>
          <w:sz w:val="24"/>
          <w:szCs w:val="24"/>
          <w:lang w:val="en-US" w:eastAsia="zh-CN" w:bidi="ar"/>
        </w:rPr>
        <w:t xml:space="preserve">评标委员会应否决其投标。 </w:t>
      </w:r>
    </w:p>
    <w:p w14:paraId="0C0F4FE3">
      <w:pPr>
        <w:keepNext w:val="0"/>
        <w:keepLines w:val="0"/>
        <w:widowControl/>
        <w:suppressLineNumbers w:val="0"/>
        <w:jc w:val="left"/>
      </w:pPr>
      <w:r>
        <w:rPr>
          <w:rFonts w:hint="default" w:ascii="Calibri" w:hAnsi="Calibri" w:eastAsia="宋体" w:cs="Calibri"/>
          <w:color w:val="000000"/>
          <w:kern w:val="0"/>
          <w:sz w:val="24"/>
          <w:szCs w:val="24"/>
          <w:lang w:val="en-US" w:eastAsia="zh-CN" w:bidi="ar"/>
        </w:rPr>
        <w:t xml:space="preserve">3.6.2 </w:t>
      </w:r>
      <w:r>
        <w:rPr>
          <w:rFonts w:hint="eastAsia" w:ascii="宋体" w:hAnsi="宋体" w:eastAsia="宋体" w:cs="宋体"/>
          <w:color w:val="000000"/>
          <w:kern w:val="0"/>
          <w:sz w:val="24"/>
          <w:szCs w:val="24"/>
          <w:lang w:val="en-US" w:eastAsia="zh-CN" w:bidi="ar"/>
        </w:rPr>
        <w:t xml:space="preserve">评标委员会应对在评标过程中发现的投标人与投标人之间、投标人与招标 </w:t>
      </w:r>
    </w:p>
    <w:p w14:paraId="4B48EF91">
      <w:pPr>
        <w:keepNext w:val="0"/>
        <w:keepLines w:val="0"/>
        <w:widowControl/>
        <w:suppressLineNumbers w:val="0"/>
        <w:jc w:val="left"/>
      </w:pPr>
      <w:r>
        <w:rPr>
          <w:rFonts w:hint="eastAsia" w:ascii="宋体" w:hAnsi="宋体" w:eastAsia="宋体" w:cs="宋体"/>
          <w:color w:val="000000"/>
          <w:kern w:val="0"/>
          <w:sz w:val="24"/>
          <w:szCs w:val="24"/>
          <w:lang w:val="en-US" w:eastAsia="zh-CN" w:bidi="ar"/>
        </w:rPr>
        <w:t xml:space="preserve">人之间存在的串通投标的情形进行评审和认定。投标人存在串通投标、弄虚作假、 </w:t>
      </w:r>
    </w:p>
    <w:p w14:paraId="6499A996">
      <w:pPr>
        <w:keepNext w:val="0"/>
        <w:keepLines w:val="0"/>
        <w:widowControl/>
        <w:suppressLineNumbers w:val="0"/>
        <w:jc w:val="left"/>
      </w:pPr>
      <w:r>
        <w:rPr>
          <w:rFonts w:hint="eastAsia" w:ascii="宋体" w:hAnsi="宋体" w:eastAsia="宋体" w:cs="宋体"/>
          <w:color w:val="000000"/>
          <w:kern w:val="0"/>
          <w:sz w:val="24"/>
          <w:szCs w:val="24"/>
          <w:lang w:val="en-US" w:eastAsia="zh-CN" w:bidi="ar"/>
        </w:rPr>
        <w:t xml:space="preserve">行贿等违法行为的，评标委员会应否决其投标。 </w:t>
      </w:r>
    </w:p>
    <w:p w14:paraId="6AF20B81">
      <w:pPr>
        <w:keepNext w:val="0"/>
        <w:keepLines w:val="0"/>
        <w:widowControl/>
        <w:suppressLineNumbers w:val="0"/>
        <w:jc w:val="left"/>
      </w:pPr>
      <w:r>
        <w:rPr>
          <w:rFonts w:hint="eastAsia" w:ascii="宋体" w:hAnsi="宋体" w:eastAsia="宋体" w:cs="宋体"/>
          <w:color w:val="000000"/>
          <w:kern w:val="0"/>
          <w:sz w:val="24"/>
          <w:szCs w:val="24"/>
          <w:lang w:val="en-US" w:eastAsia="zh-CN" w:bidi="ar"/>
        </w:rPr>
        <w:t>（</w:t>
      </w:r>
      <w:r>
        <w:rPr>
          <w:rFonts w:hint="default" w:ascii="Calibri" w:hAnsi="Calibri" w:eastAsia="宋体" w:cs="Calibri"/>
          <w:color w:val="000000"/>
          <w:kern w:val="0"/>
          <w:sz w:val="24"/>
          <w:szCs w:val="24"/>
          <w:lang w:val="en-US" w:eastAsia="zh-CN" w:bidi="ar"/>
        </w:rPr>
        <w:t>1</w:t>
      </w:r>
      <w:r>
        <w:rPr>
          <w:rFonts w:hint="eastAsia" w:ascii="宋体" w:hAnsi="宋体" w:eastAsia="宋体" w:cs="宋体"/>
          <w:color w:val="000000"/>
          <w:kern w:val="0"/>
          <w:sz w:val="24"/>
          <w:szCs w:val="24"/>
          <w:lang w:val="en-US" w:eastAsia="zh-CN" w:bidi="ar"/>
        </w:rPr>
        <w:t xml:space="preserve">）有下列情形之一的，属于投标人相互串通投标： </w:t>
      </w:r>
    </w:p>
    <w:p w14:paraId="63E01073">
      <w:pPr>
        <w:keepNext w:val="0"/>
        <w:keepLines w:val="0"/>
        <w:widowControl/>
        <w:suppressLineNumbers w:val="0"/>
        <w:jc w:val="left"/>
      </w:pPr>
      <w:r>
        <w:rPr>
          <w:rFonts w:hint="default" w:ascii="Calibri" w:hAnsi="Calibri" w:eastAsia="宋体" w:cs="Calibri"/>
          <w:color w:val="000000"/>
          <w:kern w:val="0"/>
          <w:sz w:val="24"/>
          <w:szCs w:val="24"/>
          <w:lang w:val="en-US" w:eastAsia="zh-CN" w:bidi="ar"/>
        </w:rPr>
        <w:t>a.</w:t>
      </w:r>
      <w:r>
        <w:rPr>
          <w:rFonts w:hint="eastAsia" w:ascii="宋体" w:hAnsi="宋体" w:eastAsia="宋体" w:cs="宋体"/>
          <w:color w:val="000000"/>
          <w:kern w:val="0"/>
          <w:sz w:val="24"/>
          <w:szCs w:val="24"/>
          <w:lang w:val="en-US" w:eastAsia="zh-CN" w:bidi="ar"/>
        </w:rPr>
        <w:t xml:space="preserve">投标人之间协商投标报价等投标文件的实质性内容； </w:t>
      </w:r>
    </w:p>
    <w:p w14:paraId="6AB048DA">
      <w:pPr>
        <w:keepNext w:val="0"/>
        <w:keepLines w:val="0"/>
        <w:widowControl/>
        <w:suppressLineNumbers w:val="0"/>
        <w:jc w:val="left"/>
      </w:pPr>
      <w:r>
        <w:rPr>
          <w:rFonts w:hint="default" w:ascii="Calibri" w:hAnsi="Calibri" w:eastAsia="宋体" w:cs="Calibri"/>
          <w:color w:val="000000"/>
          <w:kern w:val="0"/>
          <w:sz w:val="24"/>
          <w:szCs w:val="24"/>
          <w:lang w:val="en-US" w:eastAsia="zh-CN" w:bidi="ar"/>
        </w:rPr>
        <w:t>b.</w:t>
      </w:r>
      <w:r>
        <w:rPr>
          <w:rFonts w:hint="eastAsia" w:ascii="宋体" w:hAnsi="宋体" w:eastAsia="宋体" w:cs="宋体"/>
          <w:color w:val="000000"/>
          <w:kern w:val="0"/>
          <w:sz w:val="24"/>
          <w:szCs w:val="24"/>
          <w:lang w:val="en-US" w:eastAsia="zh-CN" w:bidi="ar"/>
        </w:rPr>
        <w:t xml:space="preserve">投标人之间约定中标人； </w:t>
      </w:r>
    </w:p>
    <w:p w14:paraId="08DBDDA4">
      <w:pPr>
        <w:keepNext w:val="0"/>
        <w:keepLines w:val="0"/>
        <w:widowControl/>
        <w:suppressLineNumbers w:val="0"/>
        <w:jc w:val="left"/>
      </w:pPr>
      <w:r>
        <w:rPr>
          <w:rFonts w:hint="default" w:ascii="Calibri" w:hAnsi="Calibri" w:eastAsia="宋体" w:cs="Calibri"/>
          <w:color w:val="000000"/>
          <w:kern w:val="0"/>
          <w:sz w:val="24"/>
          <w:szCs w:val="24"/>
          <w:lang w:val="en-US" w:eastAsia="zh-CN" w:bidi="ar"/>
        </w:rPr>
        <w:t>c.</w:t>
      </w:r>
      <w:r>
        <w:rPr>
          <w:rFonts w:hint="eastAsia" w:ascii="宋体" w:hAnsi="宋体" w:eastAsia="宋体" w:cs="宋体"/>
          <w:color w:val="000000"/>
          <w:kern w:val="0"/>
          <w:sz w:val="24"/>
          <w:szCs w:val="24"/>
          <w:lang w:val="en-US" w:eastAsia="zh-CN" w:bidi="ar"/>
        </w:rPr>
        <w:t xml:space="preserve">投标人之间约定部分投标人放弃投标或中标； </w:t>
      </w:r>
    </w:p>
    <w:p w14:paraId="28E22B15">
      <w:pPr>
        <w:keepNext w:val="0"/>
        <w:keepLines w:val="0"/>
        <w:widowControl/>
        <w:suppressLineNumbers w:val="0"/>
        <w:jc w:val="left"/>
      </w:pPr>
      <w:r>
        <w:rPr>
          <w:rFonts w:hint="default" w:ascii="Calibri" w:hAnsi="Calibri" w:eastAsia="宋体" w:cs="Calibri"/>
          <w:color w:val="000000"/>
          <w:kern w:val="0"/>
          <w:sz w:val="24"/>
          <w:szCs w:val="24"/>
          <w:lang w:val="en-US" w:eastAsia="zh-CN" w:bidi="ar"/>
        </w:rPr>
        <w:t>d.</w:t>
      </w:r>
      <w:r>
        <w:rPr>
          <w:rFonts w:hint="eastAsia" w:ascii="宋体" w:hAnsi="宋体" w:eastAsia="宋体" w:cs="宋体"/>
          <w:color w:val="000000"/>
          <w:kern w:val="0"/>
          <w:sz w:val="24"/>
          <w:szCs w:val="24"/>
          <w:lang w:val="en-US" w:eastAsia="zh-CN" w:bidi="ar"/>
        </w:rPr>
        <w:t xml:space="preserve">属于同一集团、协会、商会等组织成员的投标人按照该组织要求协同投标； </w:t>
      </w:r>
    </w:p>
    <w:p w14:paraId="0E1CB680">
      <w:pPr>
        <w:keepNext w:val="0"/>
        <w:keepLines w:val="0"/>
        <w:widowControl/>
        <w:suppressLineNumbers w:val="0"/>
        <w:jc w:val="left"/>
      </w:pPr>
      <w:r>
        <w:rPr>
          <w:rFonts w:hint="default" w:ascii="Calibri" w:hAnsi="Calibri" w:eastAsia="宋体" w:cs="Calibri"/>
          <w:color w:val="000000"/>
          <w:kern w:val="0"/>
          <w:sz w:val="24"/>
          <w:szCs w:val="24"/>
          <w:lang w:val="en-US" w:eastAsia="zh-CN" w:bidi="ar"/>
        </w:rPr>
        <w:t>e.</w:t>
      </w:r>
      <w:r>
        <w:rPr>
          <w:rFonts w:hint="eastAsia" w:ascii="宋体" w:hAnsi="宋体" w:eastAsia="宋体" w:cs="宋体"/>
          <w:color w:val="000000"/>
          <w:kern w:val="0"/>
          <w:sz w:val="24"/>
          <w:szCs w:val="24"/>
          <w:lang w:val="en-US" w:eastAsia="zh-CN" w:bidi="ar"/>
        </w:rPr>
        <w:t xml:space="preserve">投标人之间为谋取中标或排斥特定投标人而采取的其他联合行动。 </w:t>
      </w:r>
    </w:p>
    <w:p w14:paraId="1B68FDCE">
      <w:pPr>
        <w:keepNext w:val="0"/>
        <w:keepLines w:val="0"/>
        <w:widowControl/>
        <w:suppressLineNumbers w:val="0"/>
        <w:jc w:val="left"/>
      </w:pPr>
      <w:r>
        <w:rPr>
          <w:rFonts w:hint="eastAsia" w:ascii="宋体" w:hAnsi="宋体" w:eastAsia="宋体" w:cs="宋体"/>
          <w:color w:val="000000"/>
          <w:kern w:val="0"/>
          <w:sz w:val="24"/>
          <w:szCs w:val="24"/>
          <w:lang w:val="en-US" w:eastAsia="zh-CN" w:bidi="ar"/>
        </w:rPr>
        <w:t>（</w:t>
      </w:r>
      <w:r>
        <w:rPr>
          <w:rFonts w:hint="default" w:ascii="Calibri" w:hAnsi="Calibri" w:eastAsia="宋体" w:cs="Calibri"/>
          <w:color w:val="000000"/>
          <w:kern w:val="0"/>
          <w:sz w:val="24"/>
          <w:szCs w:val="24"/>
          <w:lang w:val="en-US" w:eastAsia="zh-CN" w:bidi="ar"/>
        </w:rPr>
        <w:t>2</w:t>
      </w:r>
      <w:r>
        <w:rPr>
          <w:rFonts w:hint="eastAsia" w:ascii="宋体" w:hAnsi="宋体" w:eastAsia="宋体" w:cs="宋体"/>
          <w:color w:val="000000"/>
          <w:kern w:val="0"/>
          <w:sz w:val="24"/>
          <w:szCs w:val="24"/>
          <w:lang w:val="en-US" w:eastAsia="zh-CN" w:bidi="ar"/>
        </w:rPr>
        <w:t xml:space="preserve">）有下列情形之一的，视为投标人相互串通投标： </w:t>
      </w:r>
    </w:p>
    <w:p w14:paraId="659EA905">
      <w:pPr>
        <w:keepNext w:val="0"/>
        <w:keepLines w:val="0"/>
        <w:widowControl/>
        <w:suppressLineNumbers w:val="0"/>
        <w:jc w:val="left"/>
      </w:pPr>
      <w:r>
        <w:rPr>
          <w:rFonts w:hint="default" w:ascii="Calibri" w:hAnsi="Calibri" w:eastAsia="宋体" w:cs="Calibri"/>
          <w:color w:val="000000"/>
          <w:kern w:val="0"/>
          <w:sz w:val="24"/>
          <w:szCs w:val="24"/>
          <w:lang w:val="en-US" w:eastAsia="zh-CN" w:bidi="ar"/>
        </w:rPr>
        <w:t>a.</w:t>
      </w:r>
      <w:r>
        <w:rPr>
          <w:rFonts w:hint="eastAsia" w:ascii="宋体" w:hAnsi="宋体" w:eastAsia="宋体" w:cs="宋体"/>
          <w:color w:val="000000"/>
          <w:kern w:val="0"/>
          <w:sz w:val="24"/>
          <w:szCs w:val="24"/>
          <w:lang w:val="en-US" w:eastAsia="zh-CN" w:bidi="ar"/>
        </w:rPr>
        <w:t xml:space="preserve">不同投标人的投标文件由同一单位或个人编制； </w:t>
      </w:r>
    </w:p>
    <w:p w14:paraId="4D1ED495">
      <w:pPr>
        <w:keepNext w:val="0"/>
        <w:keepLines w:val="0"/>
        <w:widowControl/>
        <w:suppressLineNumbers w:val="0"/>
        <w:jc w:val="left"/>
      </w:pPr>
      <w:r>
        <w:rPr>
          <w:rFonts w:hint="default" w:ascii="Calibri" w:hAnsi="Calibri" w:eastAsia="宋体" w:cs="Calibri"/>
          <w:color w:val="000000"/>
          <w:kern w:val="0"/>
          <w:sz w:val="24"/>
          <w:szCs w:val="24"/>
          <w:lang w:val="en-US" w:eastAsia="zh-CN" w:bidi="ar"/>
        </w:rPr>
        <w:t>b.</w:t>
      </w:r>
      <w:r>
        <w:rPr>
          <w:rFonts w:hint="eastAsia" w:ascii="宋体" w:hAnsi="宋体" w:eastAsia="宋体" w:cs="宋体"/>
          <w:color w:val="000000"/>
          <w:kern w:val="0"/>
          <w:sz w:val="24"/>
          <w:szCs w:val="24"/>
          <w:lang w:val="en-US" w:eastAsia="zh-CN" w:bidi="ar"/>
        </w:rPr>
        <w:t xml:space="preserve">不同投标人委托同一单位或个人办理投标事宜； </w:t>
      </w:r>
    </w:p>
    <w:p w14:paraId="21A3B726">
      <w:pPr>
        <w:keepNext w:val="0"/>
        <w:keepLines w:val="0"/>
        <w:widowControl/>
        <w:suppressLineNumbers w:val="0"/>
        <w:jc w:val="left"/>
      </w:pPr>
      <w:r>
        <w:rPr>
          <w:rFonts w:hint="default" w:ascii="Calibri" w:hAnsi="Calibri" w:eastAsia="宋体" w:cs="Calibri"/>
          <w:color w:val="000000"/>
          <w:kern w:val="0"/>
          <w:sz w:val="24"/>
          <w:szCs w:val="24"/>
          <w:lang w:val="en-US" w:eastAsia="zh-CN" w:bidi="ar"/>
        </w:rPr>
        <w:t>c.</w:t>
      </w:r>
      <w:r>
        <w:rPr>
          <w:rFonts w:hint="eastAsia" w:ascii="宋体" w:hAnsi="宋体" w:eastAsia="宋体" w:cs="宋体"/>
          <w:color w:val="000000"/>
          <w:kern w:val="0"/>
          <w:sz w:val="24"/>
          <w:szCs w:val="24"/>
          <w:lang w:val="en-US" w:eastAsia="zh-CN" w:bidi="ar"/>
        </w:rPr>
        <w:t xml:space="preserve">不同投标人的投标文件载明的项目管理成员为同一人； </w:t>
      </w:r>
    </w:p>
    <w:p w14:paraId="39293C8E">
      <w:pPr>
        <w:keepNext w:val="0"/>
        <w:keepLines w:val="0"/>
        <w:widowControl/>
        <w:suppressLineNumbers w:val="0"/>
        <w:jc w:val="left"/>
      </w:pPr>
      <w:r>
        <w:rPr>
          <w:rFonts w:hint="default" w:ascii="Calibri" w:hAnsi="Calibri" w:eastAsia="宋体" w:cs="Calibri"/>
          <w:color w:val="000000"/>
          <w:kern w:val="0"/>
          <w:sz w:val="24"/>
          <w:szCs w:val="24"/>
          <w:lang w:val="en-US" w:eastAsia="zh-CN" w:bidi="ar"/>
        </w:rPr>
        <w:t>d.</w:t>
      </w:r>
      <w:r>
        <w:rPr>
          <w:rFonts w:hint="eastAsia" w:ascii="宋体" w:hAnsi="宋体" w:eastAsia="宋体" w:cs="宋体"/>
          <w:color w:val="000000"/>
          <w:kern w:val="0"/>
          <w:sz w:val="24"/>
          <w:szCs w:val="24"/>
          <w:lang w:val="en-US" w:eastAsia="zh-CN" w:bidi="ar"/>
        </w:rPr>
        <w:t xml:space="preserve">不同投标人的投标文件异常一致或投标报价呈规律性差异； </w:t>
      </w:r>
    </w:p>
    <w:p w14:paraId="40340425">
      <w:pPr>
        <w:keepNext w:val="0"/>
        <w:keepLines w:val="0"/>
        <w:widowControl/>
        <w:suppressLineNumbers w:val="0"/>
        <w:jc w:val="left"/>
      </w:pPr>
      <w:r>
        <w:rPr>
          <w:rFonts w:hint="default" w:ascii="Calibri" w:hAnsi="Calibri" w:eastAsia="宋体" w:cs="Calibri"/>
          <w:color w:val="000000"/>
          <w:kern w:val="0"/>
          <w:sz w:val="24"/>
          <w:szCs w:val="24"/>
          <w:lang w:val="en-US" w:eastAsia="zh-CN" w:bidi="ar"/>
        </w:rPr>
        <w:t>e.</w:t>
      </w:r>
      <w:r>
        <w:rPr>
          <w:rFonts w:hint="eastAsia" w:ascii="宋体" w:hAnsi="宋体" w:eastAsia="宋体" w:cs="宋体"/>
          <w:color w:val="000000"/>
          <w:kern w:val="0"/>
          <w:sz w:val="24"/>
          <w:szCs w:val="24"/>
          <w:lang w:val="en-US" w:eastAsia="zh-CN" w:bidi="ar"/>
        </w:rPr>
        <w:t xml:space="preserve">不同投标人的投标文件相互混装； </w:t>
      </w:r>
    </w:p>
    <w:p w14:paraId="51471846">
      <w:pPr>
        <w:keepNext w:val="0"/>
        <w:keepLines w:val="0"/>
        <w:widowControl/>
        <w:suppressLineNumbers w:val="0"/>
        <w:jc w:val="left"/>
      </w:pPr>
      <w:r>
        <w:rPr>
          <w:rFonts w:hint="default" w:ascii="Calibri" w:hAnsi="Calibri" w:eastAsia="宋体" w:cs="Calibri"/>
          <w:color w:val="000000"/>
          <w:kern w:val="0"/>
          <w:sz w:val="24"/>
          <w:szCs w:val="24"/>
          <w:lang w:val="en-US" w:eastAsia="zh-CN" w:bidi="ar"/>
        </w:rPr>
        <w:t>f.</w:t>
      </w:r>
      <w:r>
        <w:rPr>
          <w:rFonts w:hint="eastAsia" w:ascii="宋体" w:hAnsi="宋体" w:eastAsia="宋体" w:cs="宋体"/>
          <w:color w:val="000000"/>
          <w:kern w:val="0"/>
          <w:sz w:val="24"/>
          <w:szCs w:val="24"/>
          <w:lang w:val="en-US" w:eastAsia="zh-CN" w:bidi="ar"/>
        </w:rPr>
        <w:t xml:space="preserve">不同投标人的投标保证金从同一单位或个人的账户转出。 </w:t>
      </w:r>
    </w:p>
    <w:p w14:paraId="10E30D14">
      <w:pPr>
        <w:keepNext w:val="0"/>
        <w:keepLines w:val="0"/>
        <w:widowControl/>
        <w:suppressLineNumbers w:val="0"/>
        <w:jc w:val="left"/>
      </w:pPr>
      <w:r>
        <w:rPr>
          <w:rFonts w:hint="eastAsia" w:ascii="宋体" w:hAnsi="宋体" w:eastAsia="宋体" w:cs="宋体"/>
          <w:color w:val="000000"/>
          <w:kern w:val="0"/>
          <w:sz w:val="24"/>
          <w:szCs w:val="24"/>
          <w:lang w:val="en-US" w:eastAsia="zh-CN" w:bidi="ar"/>
        </w:rPr>
        <w:t>（</w:t>
      </w:r>
      <w:r>
        <w:rPr>
          <w:rFonts w:hint="default" w:ascii="Calibri" w:hAnsi="Calibri" w:eastAsia="宋体" w:cs="Calibri"/>
          <w:color w:val="000000"/>
          <w:kern w:val="0"/>
          <w:sz w:val="24"/>
          <w:szCs w:val="24"/>
          <w:lang w:val="en-US" w:eastAsia="zh-CN" w:bidi="ar"/>
        </w:rPr>
        <w:t>3</w:t>
      </w:r>
      <w:r>
        <w:rPr>
          <w:rFonts w:hint="eastAsia" w:ascii="宋体" w:hAnsi="宋体" w:eastAsia="宋体" w:cs="宋体"/>
          <w:color w:val="000000"/>
          <w:kern w:val="0"/>
          <w:sz w:val="24"/>
          <w:szCs w:val="24"/>
          <w:lang w:val="en-US" w:eastAsia="zh-CN" w:bidi="ar"/>
        </w:rPr>
        <w:t xml:space="preserve">）有下列情形之一的，属于招标人与投标人串通投标： </w:t>
      </w:r>
    </w:p>
    <w:p w14:paraId="024D8DC5">
      <w:pPr>
        <w:keepNext w:val="0"/>
        <w:keepLines w:val="0"/>
        <w:widowControl/>
        <w:suppressLineNumbers w:val="0"/>
        <w:jc w:val="left"/>
      </w:pPr>
      <w:r>
        <w:rPr>
          <w:rFonts w:hint="default" w:ascii="Calibri" w:hAnsi="Calibri" w:eastAsia="宋体" w:cs="Calibri"/>
          <w:color w:val="000000"/>
          <w:kern w:val="0"/>
          <w:sz w:val="24"/>
          <w:szCs w:val="24"/>
          <w:lang w:val="en-US" w:eastAsia="zh-CN" w:bidi="ar"/>
        </w:rPr>
        <w:t>a.</w:t>
      </w:r>
      <w:r>
        <w:rPr>
          <w:rFonts w:hint="eastAsia" w:ascii="宋体" w:hAnsi="宋体" w:eastAsia="宋体" w:cs="宋体"/>
          <w:color w:val="000000"/>
          <w:kern w:val="0"/>
          <w:sz w:val="24"/>
          <w:szCs w:val="24"/>
          <w:lang w:val="en-US" w:eastAsia="zh-CN" w:bidi="ar"/>
        </w:rPr>
        <w:t>招标人在开标前开启投标文件并将有关信息泄露给其他投标人</w:t>
      </w:r>
      <w:r>
        <w:rPr>
          <w:rFonts w:hint="default" w:ascii="Calibri" w:hAnsi="Calibri" w:eastAsia="宋体" w:cs="Calibri"/>
          <w:color w:val="000000"/>
          <w:kern w:val="0"/>
          <w:sz w:val="24"/>
          <w:szCs w:val="24"/>
          <w:lang w:val="en-US" w:eastAsia="zh-CN" w:bidi="ar"/>
        </w:rPr>
        <w:t xml:space="preserve">; </w:t>
      </w:r>
    </w:p>
    <w:p w14:paraId="3DC13C81">
      <w:pPr>
        <w:keepNext w:val="0"/>
        <w:keepLines w:val="0"/>
        <w:widowControl/>
        <w:suppressLineNumbers w:val="0"/>
        <w:jc w:val="left"/>
      </w:pPr>
      <w:r>
        <w:rPr>
          <w:rFonts w:hint="default" w:ascii="Calibri" w:hAnsi="Calibri" w:eastAsia="宋体" w:cs="Calibri"/>
          <w:color w:val="000000"/>
          <w:kern w:val="0"/>
          <w:sz w:val="24"/>
          <w:szCs w:val="24"/>
          <w:lang w:val="en-US" w:eastAsia="zh-CN" w:bidi="ar"/>
        </w:rPr>
        <w:t>b.</w:t>
      </w:r>
      <w:r>
        <w:rPr>
          <w:rFonts w:hint="eastAsia" w:ascii="宋体" w:hAnsi="宋体" w:eastAsia="宋体" w:cs="宋体"/>
          <w:color w:val="000000"/>
          <w:kern w:val="0"/>
          <w:sz w:val="24"/>
          <w:szCs w:val="24"/>
          <w:lang w:val="en-US" w:eastAsia="zh-CN" w:bidi="ar"/>
        </w:rPr>
        <w:t xml:space="preserve">招标人直接或间接向投标人泄露标底、评标委员会成员等信息； </w:t>
      </w:r>
    </w:p>
    <w:p w14:paraId="128EBC03">
      <w:pPr>
        <w:keepNext w:val="0"/>
        <w:keepLines w:val="0"/>
        <w:widowControl/>
        <w:suppressLineNumbers w:val="0"/>
        <w:jc w:val="left"/>
      </w:pPr>
      <w:r>
        <w:rPr>
          <w:rFonts w:hint="default" w:ascii="Calibri" w:hAnsi="Calibri" w:eastAsia="宋体" w:cs="Calibri"/>
          <w:color w:val="000000"/>
          <w:kern w:val="0"/>
          <w:sz w:val="24"/>
          <w:szCs w:val="24"/>
          <w:lang w:val="en-US" w:eastAsia="zh-CN" w:bidi="ar"/>
        </w:rPr>
        <w:t>c.</w:t>
      </w:r>
      <w:r>
        <w:rPr>
          <w:rFonts w:hint="eastAsia" w:ascii="宋体" w:hAnsi="宋体" w:eastAsia="宋体" w:cs="宋体"/>
          <w:color w:val="000000"/>
          <w:kern w:val="0"/>
          <w:sz w:val="24"/>
          <w:szCs w:val="24"/>
          <w:lang w:val="en-US" w:eastAsia="zh-CN" w:bidi="ar"/>
        </w:rPr>
        <w:t xml:space="preserve">招标人明示或暗示投标人压低或抬高投标报价； </w:t>
      </w:r>
    </w:p>
    <w:p w14:paraId="6DFA3DEC">
      <w:pPr>
        <w:keepNext w:val="0"/>
        <w:keepLines w:val="0"/>
        <w:widowControl/>
        <w:suppressLineNumbers w:val="0"/>
        <w:jc w:val="left"/>
      </w:pPr>
      <w:r>
        <w:rPr>
          <w:rFonts w:hint="default" w:ascii="Calibri" w:hAnsi="Calibri" w:eastAsia="宋体" w:cs="Calibri"/>
          <w:color w:val="000000"/>
          <w:kern w:val="0"/>
          <w:sz w:val="24"/>
          <w:szCs w:val="24"/>
          <w:lang w:val="en-US" w:eastAsia="zh-CN" w:bidi="ar"/>
        </w:rPr>
        <w:t>d.</w:t>
      </w:r>
      <w:r>
        <w:rPr>
          <w:rFonts w:hint="eastAsia" w:ascii="宋体" w:hAnsi="宋体" w:eastAsia="宋体" w:cs="宋体"/>
          <w:color w:val="000000"/>
          <w:kern w:val="0"/>
          <w:sz w:val="24"/>
          <w:szCs w:val="24"/>
          <w:lang w:val="en-US" w:eastAsia="zh-CN" w:bidi="ar"/>
        </w:rPr>
        <w:t xml:space="preserve">招标人授意投标人撤换、修改投标文件； </w:t>
      </w:r>
    </w:p>
    <w:p w14:paraId="2D4804D9">
      <w:pPr>
        <w:keepNext w:val="0"/>
        <w:keepLines w:val="0"/>
        <w:widowControl/>
        <w:suppressLineNumbers w:val="0"/>
        <w:jc w:val="left"/>
      </w:pPr>
      <w:r>
        <w:rPr>
          <w:rFonts w:hint="default" w:ascii="Calibri" w:hAnsi="Calibri" w:eastAsia="宋体" w:cs="Calibri"/>
          <w:color w:val="000000"/>
          <w:kern w:val="0"/>
          <w:sz w:val="24"/>
          <w:szCs w:val="24"/>
          <w:lang w:val="en-US" w:eastAsia="zh-CN" w:bidi="ar"/>
        </w:rPr>
        <w:t>e.</w:t>
      </w:r>
      <w:r>
        <w:rPr>
          <w:rFonts w:hint="eastAsia" w:ascii="宋体" w:hAnsi="宋体" w:eastAsia="宋体" w:cs="宋体"/>
          <w:color w:val="000000"/>
          <w:kern w:val="0"/>
          <w:sz w:val="24"/>
          <w:szCs w:val="24"/>
          <w:lang w:val="en-US" w:eastAsia="zh-CN" w:bidi="ar"/>
        </w:rPr>
        <w:t xml:space="preserve">招标人明示或暗示投标人为特定投标人中标提供方便； </w:t>
      </w:r>
    </w:p>
    <w:p w14:paraId="38A5B933">
      <w:pPr>
        <w:keepNext w:val="0"/>
        <w:keepLines w:val="0"/>
        <w:widowControl/>
        <w:suppressLineNumbers w:val="0"/>
        <w:jc w:val="left"/>
      </w:pPr>
      <w:r>
        <w:rPr>
          <w:rFonts w:hint="default" w:ascii="Calibri" w:hAnsi="Calibri" w:eastAsia="宋体" w:cs="Calibri"/>
          <w:color w:val="000000"/>
          <w:kern w:val="0"/>
          <w:sz w:val="24"/>
          <w:szCs w:val="24"/>
          <w:lang w:val="en-US" w:eastAsia="zh-CN" w:bidi="ar"/>
        </w:rPr>
        <w:t>f.</w:t>
      </w:r>
      <w:r>
        <w:rPr>
          <w:rFonts w:hint="eastAsia" w:ascii="宋体" w:hAnsi="宋体" w:eastAsia="宋体" w:cs="宋体"/>
          <w:color w:val="000000"/>
          <w:kern w:val="0"/>
          <w:sz w:val="24"/>
          <w:szCs w:val="24"/>
          <w:lang w:val="en-US" w:eastAsia="zh-CN" w:bidi="ar"/>
        </w:rPr>
        <w:t xml:space="preserve">招标人与投标人为谋求特定投标人中标而采取的其他串通行为。 </w:t>
      </w:r>
    </w:p>
    <w:p w14:paraId="354625DA">
      <w:pPr>
        <w:keepNext w:val="0"/>
        <w:keepLines w:val="0"/>
        <w:widowControl/>
        <w:suppressLineNumbers w:val="0"/>
        <w:jc w:val="left"/>
      </w:pPr>
      <w:r>
        <w:rPr>
          <w:rFonts w:hint="eastAsia" w:ascii="宋体" w:hAnsi="宋体" w:eastAsia="宋体" w:cs="宋体"/>
          <w:color w:val="000000"/>
          <w:kern w:val="0"/>
          <w:sz w:val="24"/>
          <w:szCs w:val="24"/>
          <w:lang w:val="en-US" w:eastAsia="zh-CN" w:bidi="ar"/>
        </w:rPr>
        <w:t>（</w:t>
      </w:r>
      <w:r>
        <w:rPr>
          <w:rFonts w:hint="default" w:ascii="Calibri" w:hAnsi="Calibri" w:eastAsia="宋体" w:cs="Calibri"/>
          <w:color w:val="000000"/>
          <w:kern w:val="0"/>
          <w:sz w:val="24"/>
          <w:szCs w:val="24"/>
          <w:lang w:val="en-US" w:eastAsia="zh-CN" w:bidi="ar"/>
        </w:rPr>
        <w:t>4</w:t>
      </w:r>
      <w:r>
        <w:rPr>
          <w:rFonts w:hint="eastAsia" w:ascii="宋体" w:hAnsi="宋体" w:eastAsia="宋体" w:cs="宋体"/>
          <w:color w:val="000000"/>
          <w:kern w:val="0"/>
          <w:sz w:val="24"/>
          <w:szCs w:val="24"/>
          <w:lang w:val="en-US" w:eastAsia="zh-CN" w:bidi="ar"/>
        </w:rPr>
        <w:t xml:space="preserve">）投标人有下列情形之一的，属于弄虚作假的行为： </w:t>
      </w:r>
    </w:p>
    <w:p w14:paraId="1F7AF4AB">
      <w:pPr>
        <w:keepNext w:val="0"/>
        <w:keepLines w:val="0"/>
        <w:widowControl/>
        <w:suppressLineNumbers w:val="0"/>
        <w:jc w:val="left"/>
      </w:pPr>
      <w:r>
        <w:rPr>
          <w:rFonts w:hint="default" w:ascii="Calibri" w:hAnsi="Calibri" w:eastAsia="宋体" w:cs="Calibri"/>
          <w:color w:val="000000"/>
          <w:kern w:val="0"/>
          <w:sz w:val="24"/>
          <w:szCs w:val="24"/>
          <w:lang w:val="en-US" w:eastAsia="zh-CN" w:bidi="ar"/>
        </w:rPr>
        <w:t>a.</w:t>
      </w:r>
      <w:r>
        <w:rPr>
          <w:rFonts w:hint="eastAsia" w:ascii="宋体" w:hAnsi="宋体" w:eastAsia="宋体" w:cs="宋体"/>
          <w:color w:val="000000"/>
          <w:kern w:val="0"/>
          <w:sz w:val="24"/>
          <w:szCs w:val="24"/>
          <w:lang w:val="en-US" w:eastAsia="zh-CN" w:bidi="ar"/>
        </w:rPr>
        <w:t xml:space="preserve">使用通过受让或租借等方式获取的资格、资质证书投标； </w:t>
      </w:r>
    </w:p>
    <w:p w14:paraId="4387C2A2">
      <w:pPr>
        <w:keepNext w:val="0"/>
        <w:keepLines w:val="0"/>
        <w:widowControl/>
        <w:suppressLineNumbers w:val="0"/>
        <w:jc w:val="left"/>
      </w:pPr>
      <w:r>
        <w:rPr>
          <w:rFonts w:hint="default" w:ascii="Calibri" w:hAnsi="Calibri" w:eastAsia="宋体" w:cs="Calibri"/>
          <w:color w:val="000000"/>
          <w:kern w:val="0"/>
          <w:sz w:val="24"/>
          <w:szCs w:val="24"/>
          <w:lang w:val="en-US" w:eastAsia="zh-CN" w:bidi="ar"/>
        </w:rPr>
        <w:t>b.</w:t>
      </w:r>
      <w:r>
        <w:rPr>
          <w:rFonts w:hint="eastAsia" w:ascii="宋体" w:hAnsi="宋体" w:eastAsia="宋体" w:cs="宋体"/>
          <w:color w:val="000000"/>
          <w:kern w:val="0"/>
          <w:sz w:val="24"/>
          <w:szCs w:val="24"/>
          <w:lang w:val="en-US" w:eastAsia="zh-CN" w:bidi="ar"/>
        </w:rPr>
        <w:t xml:space="preserve">使用伪造、变造的许可证件； </w:t>
      </w:r>
    </w:p>
    <w:p w14:paraId="294518A2">
      <w:pPr>
        <w:keepNext w:val="0"/>
        <w:keepLines w:val="0"/>
        <w:widowControl/>
        <w:suppressLineNumbers w:val="0"/>
        <w:jc w:val="left"/>
      </w:pPr>
      <w:r>
        <w:rPr>
          <w:rFonts w:hint="default" w:ascii="Calibri" w:hAnsi="Calibri" w:eastAsia="宋体" w:cs="Calibri"/>
          <w:color w:val="000000"/>
          <w:kern w:val="0"/>
          <w:sz w:val="24"/>
          <w:szCs w:val="24"/>
          <w:lang w:val="en-US" w:eastAsia="zh-CN" w:bidi="ar"/>
        </w:rPr>
        <w:t>c.</w:t>
      </w:r>
      <w:r>
        <w:rPr>
          <w:rFonts w:hint="eastAsia" w:ascii="宋体" w:hAnsi="宋体" w:eastAsia="宋体" w:cs="宋体"/>
          <w:color w:val="000000"/>
          <w:kern w:val="0"/>
          <w:sz w:val="24"/>
          <w:szCs w:val="24"/>
          <w:lang w:val="en-US" w:eastAsia="zh-CN" w:bidi="ar"/>
        </w:rPr>
        <w:t xml:space="preserve">提供虚假的财务状况或业绩； </w:t>
      </w:r>
    </w:p>
    <w:p w14:paraId="450C6F88">
      <w:pPr>
        <w:keepNext w:val="0"/>
        <w:keepLines w:val="0"/>
        <w:widowControl/>
        <w:suppressLineNumbers w:val="0"/>
        <w:jc w:val="left"/>
      </w:pPr>
      <w:r>
        <w:rPr>
          <w:rFonts w:hint="default" w:ascii="Calibri" w:hAnsi="Calibri" w:eastAsia="宋体" w:cs="Calibri"/>
          <w:color w:val="000000"/>
          <w:kern w:val="0"/>
          <w:sz w:val="24"/>
          <w:szCs w:val="24"/>
          <w:lang w:val="en-US" w:eastAsia="zh-CN" w:bidi="ar"/>
        </w:rPr>
        <w:t>d.</w:t>
      </w:r>
      <w:r>
        <w:rPr>
          <w:rFonts w:hint="eastAsia" w:ascii="宋体" w:hAnsi="宋体" w:eastAsia="宋体" w:cs="宋体"/>
          <w:color w:val="000000"/>
          <w:kern w:val="0"/>
          <w:sz w:val="24"/>
          <w:szCs w:val="24"/>
          <w:lang w:val="en-US" w:eastAsia="zh-CN" w:bidi="ar"/>
        </w:rPr>
        <w:t>提供虚假的项目负责人或主要技术人员简历、劳动关系证明；</w:t>
      </w:r>
    </w:p>
    <w:p w14:paraId="6B3A762C">
      <w:pPr>
        <w:pageBreakBefore w:val="0"/>
        <w:kinsoku/>
        <w:wordWrap w:val="0"/>
        <w:bidi w:val="0"/>
        <w:spacing w:line="400" w:lineRule="atLeast"/>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e.提供虚假的信用状况；</w:t>
      </w:r>
    </w:p>
    <w:p w14:paraId="2CDA4960">
      <w:pPr>
        <w:pageBreakBefore w:val="0"/>
        <w:kinsoku/>
        <w:wordWrap w:val="0"/>
        <w:bidi w:val="0"/>
        <w:spacing w:line="400" w:lineRule="atLeast"/>
        <w:rPr>
          <w:rFonts w:hint="default" w:ascii="Times New Roman" w:hAnsi="Times New Roman" w:eastAsia="隶书" w:cs="Times New Roman"/>
          <w:color w:val="auto"/>
          <w:sz w:val="24"/>
          <w:highlight w:val="none"/>
        </w:rPr>
      </w:pPr>
      <w:r>
        <w:rPr>
          <w:rFonts w:hint="default" w:ascii="Times New Roman" w:hAnsi="Times New Roman" w:eastAsia="宋体" w:cs="Times New Roman"/>
          <w:color w:val="auto"/>
          <w:sz w:val="24"/>
          <w:highlight w:val="none"/>
        </w:rPr>
        <w:t>f.其他弄虚作假的行为。</w:t>
      </w:r>
    </w:p>
    <w:p w14:paraId="154B7AA4">
      <w:pPr>
        <w:pStyle w:val="2"/>
        <w:pageBreakBefore w:val="0"/>
        <w:kinsoku/>
        <w:wordWrap w:val="0"/>
        <w:bidi w:val="0"/>
        <w:spacing w:before="240" w:after="240" w:line="400" w:lineRule="atLeast"/>
        <w:outlineLvl w:val="2"/>
        <w:rPr>
          <w:rFonts w:hint="default" w:ascii="Times New Roman" w:hAnsi="Times New Roman" w:eastAsia="黑体" w:cs="Times New Roman"/>
          <w:b w:val="0"/>
          <w:color w:val="auto"/>
          <w:sz w:val="24"/>
          <w:szCs w:val="24"/>
          <w:highlight w:val="none"/>
        </w:rPr>
      </w:pPr>
      <w:bookmarkStart w:id="40" w:name="_Toc32142"/>
      <w:bookmarkStart w:id="41" w:name="_Toc267"/>
      <w:bookmarkStart w:id="42" w:name="_Toc20497"/>
      <w:r>
        <w:rPr>
          <w:rFonts w:hint="default" w:ascii="Times New Roman" w:hAnsi="Times New Roman" w:eastAsia="黑体" w:cs="Times New Roman"/>
          <w:b w:val="0"/>
          <w:color w:val="auto"/>
          <w:sz w:val="24"/>
          <w:szCs w:val="24"/>
          <w:highlight w:val="none"/>
        </w:rPr>
        <w:t>3.7 投标文件的澄清和说明</w:t>
      </w:r>
      <w:bookmarkEnd w:id="40"/>
      <w:bookmarkEnd w:id="41"/>
      <w:bookmarkEnd w:id="42"/>
    </w:p>
    <w:p w14:paraId="6F62E3B0">
      <w:pPr>
        <w:keepNext w:val="0"/>
        <w:keepLines w:val="0"/>
        <w:widowControl/>
        <w:suppressLineNumbers w:val="0"/>
        <w:jc w:val="left"/>
      </w:pPr>
      <w:r>
        <w:rPr>
          <w:rFonts w:ascii="Calibri" w:hAnsi="Calibri" w:eastAsia="宋体" w:cs="Calibri"/>
          <w:color w:val="000000"/>
          <w:kern w:val="0"/>
          <w:sz w:val="24"/>
          <w:szCs w:val="24"/>
          <w:lang w:val="en-US" w:eastAsia="zh-CN" w:bidi="ar"/>
        </w:rPr>
        <w:t xml:space="preserve">3.7.1 </w:t>
      </w:r>
      <w:r>
        <w:rPr>
          <w:rFonts w:hint="eastAsia" w:ascii="宋体" w:hAnsi="宋体" w:eastAsia="宋体" w:cs="宋体"/>
          <w:color w:val="000000"/>
          <w:kern w:val="0"/>
          <w:sz w:val="24"/>
          <w:szCs w:val="24"/>
          <w:lang w:val="en-US" w:eastAsia="zh-CN" w:bidi="ar"/>
        </w:rPr>
        <w:t xml:space="preserve">在评标过程中，评标委员会可以书面形式要求投标人对投标文件中含义不 </w:t>
      </w:r>
    </w:p>
    <w:p w14:paraId="1EB22AF9">
      <w:pPr>
        <w:keepNext w:val="0"/>
        <w:keepLines w:val="0"/>
        <w:widowControl/>
        <w:suppressLineNumbers w:val="0"/>
        <w:jc w:val="left"/>
      </w:pPr>
      <w:r>
        <w:rPr>
          <w:rFonts w:hint="eastAsia" w:ascii="宋体" w:hAnsi="宋体" w:eastAsia="宋体" w:cs="宋体"/>
          <w:color w:val="000000"/>
          <w:kern w:val="0"/>
          <w:sz w:val="24"/>
          <w:szCs w:val="24"/>
          <w:lang w:val="en-US" w:eastAsia="zh-CN" w:bidi="ar"/>
        </w:rPr>
        <w:t xml:space="preserve">明确的内容、明显文字或计算错误进行书面澄清或说明。评标委员会不接受投标人 </w:t>
      </w:r>
    </w:p>
    <w:p w14:paraId="755B751B">
      <w:pPr>
        <w:keepNext w:val="0"/>
        <w:keepLines w:val="0"/>
        <w:widowControl/>
        <w:suppressLineNumbers w:val="0"/>
        <w:jc w:val="left"/>
      </w:pPr>
      <w:r>
        <w:rPr>
          <w:rFonts w:hint="eastAsia" w:ascii="宋体" w:hAnsi="宋体" w:eastAsia="宋体" w:cs="宋体"/>
          <w:color w:val="000000"/>
          <w:kern w:val="0"/>
          <w:sz w:val="24"/>
          <w:szCs w:val="24"/>
          <w:lang w:val="en-US" w:eastAsia="zh-CN" w:bidi="ar"/>
        </w:rPr>
        <w:t xml:space="preserve">主动提出的澄清、说明。投标人不按评标委员会要求澄清或说明的，评标委员会应 </w:t>
      </w:r>
    </w:p>
    <w:p w14:paraId="358970DD">
      <w:pPr>
        <w:keepNext w:val="0"/>
        <w:keepLines w:val="0"/>
        <w:widowControl/>
        <w:suppressLineNumbers w:val="0"/>
        <w:jc w:val="left"/>
      </w:pPr>
      <w:r>
        <w:rPr>
          <w:rFonts w:hint="eastAsia" w:ascii="宋体" w:hAnsi="宋体" w:eastAsia="宋体" w:cs="宋体"/>
          <w:color w:val="000000"/>
          <w:kern w:val="0"/>
          <w:sz w:val="24"/>
          <w:szCs w:val="24"/>
          <w:lang w:val="en-US" w:eastAsia="zh-CN" w:bidi="ar"/>
        </w:rPr>
        <w:t xml:space="preserve">否决其投标。 </w:t>
      </w:r>
    </w:p>
    <w:p w14:paraId="105A7F09">
      <w:pPr>
        <w:keepNext w:val="0"/>
        <w:keepLines w:val="0"/>
        <w:widowControl/>
        <w:suppressLineNumbers w:val="0"/>
        <w:jc w:val="left"/>
      </w:pPr>
      <w:r>
        <w:rPr>
          <w:rFonts w:hint="default" w:ascii="Calibri" w:hAnsi="Calibri" w:eastAsia="宋体" w:cs="Calibri"/>
          <w:color w:val="000000"/>
          <w:kern w:val="0"/>
          <w:sz w:val="24"/>
          <w:szCs w:val="24"/>
          <w:lang w:val="en-US" w:eastAsia="zh-CN" w:bidi="ar"/>
        </w:rPr>
        <w:t xml:space="preserve">3.7.2 </w:t>
      </w:r>
      <w:r>
        <w:rPr>
          <w:rFonts w:hint="eastAsia" w:ascii="宋体" w:hAnsi="宋体" w:eastAsia="宋体" w:cs="宋体"/>
          <w:color w:val="000000"/>
          <w:kern w:val="0"/>
          <w:sz w:val="24"/>
          <w:szCs w:val="24"/>
          <w:lang w:val="en-US" w:eastAsia="zh-CN" w:bidi="ar"/>
        </w:rPr>
        <w:t xml:space="preserve">澄清和说明不得超出投标文件的范围或改变投标文件的实质性内容（算术 </w:t>
      </w:r>
    </w:p>
    <w:p w14:paraId="726631E1">
      <w:pPr>
        <w:keepNext w:val="0"/>
        <w:keepLines w:val="0"/>
        <w:widowControl/>
        <w:suppressLineNumbers w:val="0"/>
        <w:jc w:val="left"/>
      </w:pPr>
      <w:r>
        <w:rPr>
          <w:rFonts w:hint="eastAsia" w:ascii="宋体" w:hAnsi="宋体" w:eastAsia="宋体" w:cs="宋体"/>
          <w:color w:val="000000"/>
          <w:kern w:val="0"/>
          <w:sz w:val="24"/>
          <w:szCs w:val="24"/>
          <w:lang w:val="en-US" w:eastAsia="zh-CN" w:bidi="ar"/>
        </w:rPr>
        <w:t xml:space="preserve">性错误的修正除外）。投标人的书面澄清、说明属于投标文件的组成部分。 </w:t>
      </w:r>
    </w:p>
    <w:p w14:paraId="10169A92">
      <w:pPr>
        <w:keepNext w:val="0"/>
        <w:keepLines w:val="0"/>
        <w:widowControl/>
        <w:suppressLineNumbers w:val="0"/>
        <w:jc w:val="left"/>
      </w:pPr>
      <w:r>
        <w:rPr>
          <w:rFonts w:hint="default" w:ascii="Calibri" w:hAnsi="Calibri" w:eastAsia="宋体" w:cs="Calibri"/>
          <w:color w:val="000000"/>
          <w:kern w:val="0"/>
          <w:sz w:val="24"/>
          <w:szCs w:val="24"/>
          <w:lang w:val="en-US" w:eastAsia="zh-CN" w:bidi="ar"/>
        </w:rPr>
        <w:t xml:space="preserve">3.7.3 </w:t>
      </w:r>
      <w:r>
        <w:rPr>
          <w:rFonts w:hint="eastAsia" w:ascii="宋体" w:hAnsi="宋体" w:eastAsia="宋体" w:cs="宋体"/>
          <w:color w:val="000000"/>
          <w:kern w:val="0"/>
          <w:sz w:val="24"/>
          <w:szCs w:val="24"/>
          <w:lang w:val="en-US" w:eastAsia="zh-CN" w:bidi="ar"/>
        </w:rPr>
        <w:t xml:space="preserve">评标委员会不得暗示或诱导投标人作出澄清、说明，对投标人提交的澄清、 </w:t>
      </w:r>
    </w:p>
    <w:p w14:paraId="0CBE49EC">
      <w:pPr>
        <w:keepNext w:val="0"/>
        <w:keepLines w:val="0"/>
        <w:widowControl/>
        <w:suppressLineNumbers w:val="0"/>
        <w:jc w:val="left"/>
      </w:pPr>
      <w:r>
        <w:rPr>
          <w:rFonts w:hint="eastAsia" w:ascii="宋体" w:hAnsi="宋体" w:eastAsia="宋体" w:cs="宋体"/>
          <w:color w:val="000000"/>
          <w:kern w:val="0"/>
          <w:sz w:val="24"/>
          <w:szCs w:val="24"/>
          <w:lang w:val="en-US" w:eastAsia="zh-CN" w:bidi="ar"/>
        </w:rPr>
        <w:t xml:space="preserve">说明有疑问的，可以要求投标人进一步澄清或说明，直至满足评标委员会的要求。 </w:t>
      </w:r>
    </w:p>
    <w:p w14:paraId="07B35E21">
      <w:pPr>
        <w:keepNext w:val="0"/>
        <w:keepLines w:val="0"/>
        <w:widowControl/>
        <w:suppressLineNumbers w:val="0"/>
        <w:jc w:val="left"/>
      </w:pPr>
      <w:r>
        <w:rPr>
          <w:rFonts w:hint="default" w:ascii="Calibri" w:hAnsi="Calibri" w:eastAsia="宋体" w:cs="Calibri"/>
          <w:color w:val="000000"/>
          <w:kern w:val="0"/>
          <w:sz w:val="24"/>
          <w:szCs w:val="24"/>
          <w:lang w:val="en-US" w:eastAsia="zh-CN" w:bidi="ar"/>
        </w:rPr>
        <w:t xml:space="preserve">3.7.4 </w:t>
      </w:r>
      <w:r>
        <w:rPr>
          <w:rFonts w:hint="eastAsia" w:ascii="宋体" w:hAnsi="宋体" w:eastAsia="宋体" w:cs="宋体"/>
          <w:color w:val="000000"/>
          <w:kern w:val="0"/>
          <w:sz w:val="24"/>
          <w:szCs w:val="24"/>
          <w:lang w:val="en-US" w:eastAsia="zh-CN" w:bidi="ar"/>
        </w:rPr>
        <w:t xml:space="preserve">凡超出招标文件规定的或给发包人带来未曾要求的利益的变化、偏差或其 </w:t>
      </w:r>
    </w:p>
    <w:p w14:paraId="251FF179">
      <w:pPr>
        <w:keepNext w:val="0"/>
        <w:keepLines w:val="0"/>
        <w:widowControl/>
        <w:suppressLineNumbers w:val="0"/>
        <w:jc w:val="left"/>
      </w:pPr>
      <w:r>
        <w:rPr>
          <w:rFonts w:hint="eastAsia" w:ascii="宋体" w:hAnsi="宋体" w:eastAsia="宋体" w:cs="宋体"/>
          <w:color w:val="000000"/>
          <w:kern w:val="0"/>
          <w:sz w:val="24"/>
          <w:szCs w:val="24"/>
          <w:lang w:val="en-US" w:eastAsia="zh-CN" w:bidi="ar"/>
        </w:rPr>
        <w:t>他因素在评标时不予考虑。</w:t>
      </w:r>
    </w:p>
    <w:p w14:paraId="746D1E28">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p>
    <w:p w14:paraId="162AB718">
      <w:pPr>
        <w:pStyle w:val="2"/>
        <w:pageBreakBefore w:val="0"/>
        <w:kinsoku/>
        <w:wordWrap w:val="0"/>
        <w:bidi w:val="0"/>
        <w:spacing w:before="240" w:after="240" w:line="400" w:lineRule="atLeast"/>
        <w:outlineLvl w:val="2"/>
        <w:rPr>
          <w:rFonts w:hint="default" w:ascii="Times New Roman" w:hAnsi="Times New Roman" w:eastAsia="黑体" w:cs="Times New Roman"/>
          <w:b w:val="0"/>
          <w:color w:val="auto"/>
          <w:sz w:val="24"/>
          <w:szCs w:val="24"/>
          <w:highlight w:val="none"/>
        </w:rPr>
      </w:pPr>
      <w:bookmarkStart w:id="43" w:name="_Toc24252"/>
      <w:bookmarkStart w:id="44" w:name="_Toc19373"/>
      <w:bookmarkStart w:id="45" w:name="_Toc859"/>
      <w:r>
        <w:rPr>
          <w:rFonts w:hint="default" w:ascii="Times New Roman" w:hAnsi="Times New Roman" w:eastAsia="黑体" w:cs="Times New Roman"/>
          <w:b w:val="0"/>
          <w:color w:val="auto"/>
          <w:sz w:val="24"/>
          <w:szCs w:val="24"/>
          <w:highlight w:val="none"/>
        </w:rPr>
        <w:t>3</w:t>
      </w:r>
      <w:r>
        <w:rPr>
          <w:rFonts w:hint="default" w:ascii="Times New Roman" w:hAnsi="Times New Roman" w:eastAsia="黑体" w:cs="Times New Roman"/>
          <w:b w:val="0"/>
          <w:color w:val="auto"/>
          <w:sz w:val="24"/>
          <w:szCs w:val="24"/>
          <w:highlight w:val="none"/>
          <w:lang w:eastAsia="zh-CN"/>
        </w:rPr>
        <w:t>.8</w:t>
      </w:r>
      <w:r>
        <w:rPr>
          <w:rFonts w:hint="default" w:ascii="Times New Roman" w:hAnsi="Times New Roman" w:eastAsia="黑体" w:cs="Times New Roman"/>
          <w:b w:val="0"/>
          <w:color w:val="auto"/>
          <w:sz w:val="24"/>
          <w:szCs w:val="24"/>
          <w:highlight w:val="none"/>
        </w:rPr>
        <w:t xml:space="preserve"> 不得否决投标的情形</w:t>
      </w:r>
      <w:bookmarkEnd w:id="43"/>
      <w:bookmarkEnd w:id="44"/>
      <w:bookmarkEnd w:id="45"/>
    </w:p>
    <w:p w14:paraId="405B18B2">
      <w:pPr>
        <w:keepNext w:val="0"/>
        <w:keepLines w:val="0"/>
        <w:widowControl/>
        <w:suppressLineNumbers w:val="0"/>
        <w:jc w:val="left"/>
      </w:pPr>
      <w:bookmarkStart w:id="46" w:name="_Toc18765"/>
      <w:bookmarkStart w:id="47" w:name="_Toc4504"/>
      <w:bookmarkStart w:id="48" w:name="_Toc29619"/>
      <w:r>
        <w:rPr>
          <w:rFonts w:hint="eastAsia" w:ascii="宋体" w:hAnsi="宋体" w:eastAsia="宋体" w:cs="宋体"/>
          <w:color w:val="000000"/>
          <w:kern w:val="0"/>
          <w:sz w:val="24"/>
          <w:szCs w:val="24"/>
          <w:lang w:val="en-US" w:eastAsia="zh-CN" w:bidi="ar"/>
        </w:rPr>
        <w:t xml:space="preserve">投标文件存在第二章“投标人须知”第 </w:t>
      </w:r>
      <w:r>
        <w:rPr>
          <w:rFonts w:ascii="Calibri" w:hAnsi="Calibri" w:eastAsia="宋体" w:cs="Calibri"/>
          <w:color w:val="000000"/>
          <w:kern w:val="0"/>
          <w:sz w:val="24"/>
          <w:szCs w:val="24"/>
          <w:lang w:val="en-US" w:eastAsia="zh-CN" w:bidi="ar"/>
        </w:rPr>
        <w:t xml:space="preserve">1.12.3 </w:t>
      </w:r>
      <w:r>
        <w:rPr>
          <w:rFonts w:hint="eastAsia" w:ascii="宋体" w:hAnsi="宋体" w:eastAsia="宋体" w:cs="宋体"/>
          <w:color w:val="000000"/>
          <w:kern w:val="0"/>
          <w:sz w:val="24"/>
          <w:szCs w:val="24"/>
          <w:lang w:val="en-US" w:eastAsia="zh-CN" w:bidi="ar"/>
        </w:rPr>
        <w:t xml:space="preserve">项所列情形的，均视为细微偏差， </w:t>
      </w:r>
    </w:p>
    <w:p w14:paraId="3145F75B">
      <w:pPr>
        <w:keepNext w:val="0"/>
        <w:keepLines w:val="0"/>
        <w:widowControl/>
        <w:suppressLineNumbers w:val="0"/>
        <w:jc w:val="left"/>
      </w:pPr>
      <w:r>
        <w:rPr>
          <w:rFonts w:hint="eastAsia" w:ascii="宋体" w:hAnsi="宋体" w:eastAsia="宋体" w:cs="宋体"/>
          <w:color w:val="000000"/>
          <w:kern w:val="0"/>
          <w:sz w:val="24"/>
          <w:szCs w:val="24"/>
          <w:lang w:val="en-US" w:eastAsia="zh-CN" w:bidi="ar"/>
        </w:rPr>
        <w:t xml:space="preserve">评标委员会不得否决投标人的投标，应按照第二章“投标人须知”第 </w:t>
      </w:r>
      <w:r>
        <w:rPr>
          <w:rFonts w:hint="default" w:ascii="Calibri" w:hAnsi="Calibri" w:eastAsia="宋体" w:cs="Calibri"/>
          <w:color w:val="000000"/>
          <w:kern w:val="0"/>
          <w:sz w:val="24"/>
          <w:szCs w:val="24"/>
          <w:lang w:val="en-US" w:eastAsia="zh-CN" w:bidi="ar"/>
        </w:rPr>
        <w:t xml:space="preserve">1.12.4 </w:t>
      </w:r>
      <w:r>
        <w:rPr>
          <w:rFonts w:hint="eastAsia" w:ascii="宋体" w:hAnsi="宋体" w:eastAsia="宋体" w:cs="宋体"/>
          <w:color w:val="000000"/>
          <w:kern w:val="0"/>
          <w:sz w:val="24"/>
          <w:szCs w:val="24"/>
          <w:lang w:val="en-US" w:eastAsia="zh-CN" w:bidi="ar"/>
        </w:rPr>
        <w:t xml:space="preserve">项规定 </w:t>
      </w:r>
    </w:p>
    <w:p w14:paraId="6B3A18E5">
      <w:pPr>
        <w:keepNext w:val="0"/>
        <w:keepLines w:val="0"/>
        <w:widowControl/>
        <w:suppressLineNumbers w:val="0"/>
        <w:jc w:val="left"/>
      </w:pPr>
      <w:r>
        <w:rPr>
          <w:rFonts w:hint="eastAsia" w:ascii="宋体" w:hAnsi="宋体" w:eastAsia="宋体" w:cs="宋体"/>
          <w:color w:val="000000"/>
          <w:kern w:val="0"/>
          <w:sz w:val="24"/>
          <w:szCs w:val="24"/>
          <w:lang w:val="en-US" w:eastAsia="zh-CN" w:bidi="ar"/>
        </w:rPr>
        <w:t>的原则处理。</w:t>
      </w:r>
    </w:p>
    <w:p w14:paraId="1B481D9B">
      <w:pPr>
        <w:pStyle w:val="2"/>
        <w:pageBreakBefore w:val="0"/>
        <w:kinsoku/>
        <w:wordWrap w:val="0"/>
        <w:bidi w:val="0"/>
        <w:spacing w:before="240" w:after="240" w:line="240" w:lineRule="atLeast"/>
        <w:outlineLvl w:val="2"/>
        <w:rPr>
          <w:rFonts w:hint="default" w:ascii="Times New Roman" w:hAnsi="Times New Roman" w:eastAsia="黑体" w:cs="Times New Roman"/>
          <w:b w:val="0"/>
          <w:color w:val="auto"/>
          <w:sz w:val="24"/>
          <w:szCs w:val="24"/>
          <w:highlight w:val="none"/>
        </w:rPr>
      </w:pPr>
      <w:r>
        <w:rPr>
          <w:rFonts w:hint="default" w:ascii="Times New Roman" w:hAnsi="Times New Roman" w:eastAsia="黑体" w:cs="Times New Roman"/>
          <w:b w:val="0"/>
          <w:color w:val="auto"/>
          <w:sz w:val="24"/>
          <w:szCs w:val="24"/>
          <w:highlight w:val="none"/>
        </w:rPr>
        <w:t>3.</w:t>
      </w:r>
      <w:r>
        <w:rPr>
          <w:rFonts w:hint="default" w:ascii="Times New Roman" w:hAnsi="Times New Roman" w:eastAsia="黑体" w:cs="Times New Roman"/>
          <w:b w:val="0"/>
          <w:color w:val="auto"/>
          <w:sz w:val="24"/>
          <w:szCs w:val="24"/>
          <w:highlight w:val="none"/>
          <w:lang w:eastAsia="zh-CN"/>
        </w:rPr>
        <w:t>9</w:t>
      </w:r>
      <w:r>
        <w:rPr>
          <w:rFonts w:hint="default" w:ascii="Times New Roman" w:hAnsi="Times New Roman" w:eastAsia="黑体" w:cs="Times New Roman"/>
          <w:b w:val="0"/>
          <w:color w:val="auto"/>
          <w:sz w:val="24"/>
          <w:szCs w:val="24"/>
          <w:highlight w:val="none"/>
        </w:rPr>
        <w:t xml:space="preserve"> 评标结果</w:t>
      </w:r>
      <w:bookmarkEnd w:id="46"/>
      <w:bookmarkEnd w:id="47"/>
      <w:bookmarkEnd w:id="48"/>
    </w:p>
    <w:p w14:paraId="7A694508">
      <w:pPr>
        <w:keepNext w:val="0"/>
        <w:keepLines w:val="0"/>
        <w:widowControl/>
        <w:suppressLineNumbers w:val="0"/>
        <w:jc w:val="left"/>
      </w:pPr>
      <w:r>
        <w:rPr>
          <w:rFonts w:ascii="Calibri" w:hAnsi="Calibri" w:eastAsia="宋体" w:cs="Calibri"/>
          <w:color w:val="000000"/>
          <w:kern w:val="0"/>
          <w:sz w:val="24"/>
          <w:szCs w:val="24"/>
          <w:lang w:val="en-US" w:eastAsia="zh-CN" w:bidi="ar"/>
        </w:rPr>
        <w:t xml:space="preserve">3.9.1 </w:t>
      </w:r>
      <w:r>
        <w:rPr>
          <w:rFonts w:hint="eastAsia" w:ascii="宋体" w:hAnsi="宋体" w:eastAsia="宋体" w:cs="宋体"/>
          <w:color w:val="000000"/>
          <w:kern w:val="0"/>
          <w:sz w:val="24"/>
          <w:szCs w:val="24"/>
          <w:lang w:val="en-US" w:eastAsia="zh-CN" w:bidi="ar"/>
        </w:rPr>
        <w:t xml:space="preserve">除第二章“投标人须知”前附表授权直接确定中标人外，评标委员会按照 </w:t>
      </w:r>
    </w:p>
    <w:p w14:paraId="3952BDE4">
      <w:pPr>
        <w:keepNext w:val="0"/>
        <w:keepLines w:val="0"/>
        <w:widowControl/>
        <w:suppressLineNumbers w:val="0"/>
        <w:jc w:val="left"/>
      </w:pPr>
      <w:r>
        <w:rPr>
          <w:rFonts w:hint="eastAsia" w:ascii="宋体" w:hAnsi="宋体" w:eastAsia="宋体" w:cs="宋体"/>
          <w:color w:val="000000"/>
          <w:kern w:val="0"/>
          <w:sz w:val="24"/>
          <w:szCs w:val="24"/>
          <w:lang w:val="en-US" w:eastAsia="zh-CN" w:bidi="ar"/>
        </w:rPr>
        <w:t xml:space="preserve">评标价由低到高的顺序推荐中标候选人，并标明排序。 </w:t>
      </w:r>
    </w:p>
    <w:p w14:paraId="1C6A61E5">
      <w:pPr>
        <w:keepNext w:val="0"/>
        <w:keepLines w:val="0"/>
        <w:widowControl/>
        <w:suppressLineNumbers w:val="0"/>
        <w:jc w:val="left"/>
      </w:pPr>
      <w:r>
        <w:rPr>
          <w:rFonts w:hint="default" w:ascii="Calibri" w:hAnsi="Calibri" w:eastAsia="宋体" w:cs="Calibri"/>
          <w:color w:val="000000"/>
          <w:kern w:val="0"/>
          <w:sz w:val="24"/>
          <w:szCs w:val="24"/>
          <w:lang w:val="en-US" w:eastAsia="zh-CN" w:bidi="ar"/>
        </w:rPr>
        <w:t xml:space="preserve">3.9.2 </w:t>
      </w:r>
      <w:r>
        <w:rPr>
          <w:rFonts w:hint="eastAsia" w:ascii="宋体" w:hAnsi="宋体" w:eastAsia="宋体" w:cs="宋体"/>
          <w:color w:val="000000"/>
          <w:kern w:val="0"/>
          <w:sz w:val="24"/>
          <w:szCs w:val="24"/>
          <w:lang w:val="en-US" w:eastAsia="zh-CN" w:bidi="ar"/>
        </w:rPr>
        <w:t>评标委员会完成评标后，应向招标人提交评标报告</w:t>
      </w:r>
      <w:r>
        <w:rPr>
          <w:rFonts w:ascii="微软雅黑" w:hAnsi="微软雅黑" w:eastAsia="微软雅黑" w:cs="微软雅黑"/>
          <w:color w:val="000000"/>
          <w:kern w:val="0"/>
          <w:sz w:val="24"/>
          <w:szCs w:val="24"/>
          <w:lang w:val="en-US" w:eastAsia="zh-CN" w:bidi="ar"/>
        </w:rPr>
        <w:t>。</w:t>
      </w:r>
      <w:bookmarkEnd w:id="3"/>
      <w:bookmarkStart w:id="49" w:name="_GoBack"/>
      <w:bookmarkEnd w:id="49"/>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隶书">
    <w:altName w:val="宋体"/>
    <w:panose1 w:val="0201050906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4BB2DE">
    <w:pPr>
      <w:pStyle w:val="4"/>
      <w:spacing w:line="240" w:lineRule="exact"/>
      <w:ind w:right="360" w:firstLine="360"/>
      <w:jc w:val="center"/>
      <w:rPr>
        <w:rFonts w:hint="eastAsia" w:eastAsia="黑体"/>
        <w:sz w:val="17"/>
        <w:szCs w:val="17"/>
      </w:rPr>
    </w:pPr>
    <w:r>
      <w:rPr>
        <w:sz w:val="17"/>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D8D74E">
                          <w:pPr>
                            <w:pStyle w:val="4"/>
                          </w:pPr>
                          <w:r>
                            <w:fldChar w:fldCharType="begin"/>
                          </w:r>
                          <w:r>
                            <w:instrText xml:space="preserve"> PAGE  \* MERGEFORMAT </w:instrText>
                          </w:r>
                          <w:r>
                            <w:fldChar w:fldCharType="separate"/>
                          </w:r>
                          <w:r>
                            <w:t>52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23D8D74E">
                    <w:pPr>
                      <w:pStyle w:val="4"/>
                    </w:pPr>
                    <w:r>
                      <w:fldChar w:fldCharType="begin"/>
                    </w:r>
                    <w:r>
                      <w:instrText xml:space="preserve"> PAGE  \* MERGEFORMAT </w:instrText>
                    </w:r>
                    <w:r>
                      <w:fldChar w:fldCharType="separate"/>
                    </w:r>
                    <w:r>
                      <w:t>52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021F3C">
    <w:pPr>
      <w:pStyle w:val="5"/>
      <w:rPr>
        <w:rFonts w:hint="eastAsia"/>
        <w:lang w:eastAsia="zh-CN"/>
      </w:rPr>
    </w:pPr>
    <w:r>
      <w:rPr>
        <w:rFonts w:hint="eastAsia" w:ascii="Times New Roman" w:eastAsia="黑体" w:cs="Times New Roman"/>
        <w:b w:val="0"/>
        <w:bCs w:val="0"/>
        <w:color w:val="auto"/>
        <w:sz w:val="21"/>
        <w:szCs w:val="21"/>
        <w:highlight w:val="none"/>
        <w:u w:val="none"/>
        <w:lang w:val="en-US" w:eastAsia="zh-CN"/>
      </w:rPr>
      <w:t>清原县2026年一事一议村内道路建设项目</w:t>
    </w:r>
  </w:p>
  <w:p w14:paraId="733D52F2">
    <w:pPr>
      <w:pStyle w:val="5"/>
      <w:rPr>
        <w:rFonts w:hint="default"/>
        <w:lang w:val="en-US" w:eastAsia="zh-CN"/>
      </w:rPr>
    </w:pPr>
  </w:p>
  <w:p w14:paraId="7A01FB75">
    <w:pPr>
      <w:pStyle w:val="5"/>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19C62E4"/>
    <w:rsid w:val="219C62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240" w:after="240" w:line="240" w:lineRule="atLeast"/>
      <w:outlineLvl w:val="0"/>
    </w:pPr>
    <w:rPr>
      <w:rFonts w:eastAsia="黑体"/>
      <w:bCs/>
      <w:kern w:val="44"/>
      <w:sz w:val="24"/>
      <w:szCs w:val="44"/>
    </w:rPr>
  </w:style>
  <w:style w:type="character" w:default="1" w:styleId="8">
    <w:name w:val="Default Paragraph Font"/>
    <w:semiHidden/>
    <w:qFormat/>
    <w:uiPriority w:val="0"/>
  </w:style>
  <w:style w:type="table" w:default="1" w:styleId="7">
    <w:name w:val="Normal Table"/>
    <w:semiHidden/>
    <w:uiPriority w:val="0"/>
    <w:tblPr>
      <w:tblCellMar>
        <w:top w:w="0" w:type="dxa"/>
        <w:left w:w="108" w:type="dxa"/>
        <w:bottom w:w="0" w:type="dxa"/>
        <w:right w:w="108" w:type="dxa"/>
      </w:tblCellMar>
    </w:tblPr>
  </w:style>
  <w:style w:type="paragraph" w:styleId="3">
    <w:name w:val="Body Text Indent"/>
    <w:basedOn w:val="1"/>
    <w:qFormat/>
    <w:uiPriority w:val="0"/>
    <w:pPr>
      <w:spacing w:after="120"/>
      <w:ind w:left="420" w:leftChars="200"/>
    </w:p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tabs>
        <w:tab w:val="center" w:pos="4153"/>
        <w:tab w:val="right" w:pos="8306"/>
      </w:tabs>
      <w:snapToGrid w:val="0"/>
      <w:jc w:val="center"/>
    </w:pPr>
    <w:rPr>
      <w:sz w:val="18"/>
      <w:szCs w:val="18"/>
    </w:rPr>
  </w:style>
  <w:style w:type="paragraph" w:styleId="6">
    <w:name w:val="Body Text First Indent 2"/>
    <w:basedOn w:val="3"/>
    <w:qFormat/>
    <w:uiPriority w:val="0"/>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2026-08-13T06:54:00Z</dcterms:created>
  <dc:creator>ASL</dc:creator>
  <cp:lastModifiedBy>ASL</cp:lastModifiedBy>
  <dcterms:modified xsi:type="dcterms:W3CDTF">2026-08-13T06:54:38Z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227B315909AA4DCFA305683B2A082B00_11</vt:lpwstr>
  </property>
  <property fmtid="{D5CDD505-2E9C-101B-9397-08002B2CF9AE}" pid="4" name="KSOTemplateDocerSaveRecord">
    <vt:lpwstr>eyJoZGlkIjoiMzkxNGViN2UzMGQ4YjYzYWI5YzA1M2M1ZWIyYzBiNTMiLCJ1c2VySWQiOiIxMzQwMzE2NzU5In0=</vt:lpwstr>
  </property>
</Properties>
</file>