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SourceHanSansCN-Regular" w:hAnsi="SourceHanSansCN-Regular" w:eastAsia="SourceHanSansCN-Regular" w:cs="SourceHanSansCN-Regular"/>
          <w:i w:val="0"/>
          <w:iCs w:val="0"/>
          <w:caps w:val="0"/>
          <w:color w:val="333333"/>
          <w:spacing w:val="0"/>
          <w:sz w:val="19"/>
          <w:szCs w:val="19"/>
        </w:rPr>
      </w:pPr>
      <w:r>
        <w:rPr>
          <w:rStyle w:val="5"/>
          <w:rFonts w:hint="eastAsia" w:ascii="宋体" w:hAnsi="宋体" w:eastAsia="宋体" w:cs="宋体"/>
          <w:i w:val="0"/>
          <w:iCs w:val="0"/>
          <w:caps w:val="0"/>
          <w:color w:val="333333"/>
          <w:spacing w:val="0"/>
          <w:sz w:val="34"/>
          <w:szCs w:val="34"/>
          <w:bdr w:val="none" w:color="auto" w:sz="0" w:space="0"/>
        </w:rPr>
        <w:t>202</w:t>
      </w:r>
      <w:r>
        <w:rPr>
          <w:rStyle w:val="5"/>
          <w:rFonts w:hint="eastAsia" w:ascii="宋体" w:hAnsi="宋体" w:cs="宋体"/>
          <w:i w:val="0"/>
          <w:iCs w:val="0"/>
          <w:caps w:val="0"/>
          <w:color w:val="333333"/>
          <w:spacing w:val="0"/>
          <w:sz w:val="34"/>
          <w:szCs w:val="34"/>
          <w:bdr w:val="none" w:color="auto" w:sz="0" w:space="0"/>
          <w:lang w:val="en-US" w:eastAsia="zh-CN"/>
        </w:rPr>
        <w:t>2</w:t>
      </w:r>
      <w:r>
        <w:rPr>
          <w:rStyle w:val="5"/>
          <w:rFonts w:hint="eastAsia" w:ascii="宋体" w:hAnsi="宋体" w:eastAsia="宋体" w:cs="宋体"/>
          <w:i w:val="0"/>
          <w:iCs w:val="0"/>
          <w:caps w:val="0"/>
          <w:color w:val="333333"/>
          <w:spacing w:val="0"/>
          <w:sz w:val="34"/>
          <w:szCs w:val="34"/>
          <w:bdr w:val="none" w:color="auto" w:sz="0" w:space="0"/>
        </w:rPr>
        <w:t>年</w:t>
      </w:r>
      <w:r>
        <w:rPr>
          <w:rStyle w:val="5"/>
          <w:rFonts w:hint="eastAsia" w:ascii="宋体" w:hAnsi="宋体" w:cs="宋体"/>
          <w:i w:val="0"/>
          <w:iCs w:val="0"/>
          <w:caps w:val="0"/>
          <w:color w:val="333333"/>
          <w:spacing w:val="0"/>
          <w:sz w:val="34"/>
          <w:szCs w:val="34"/>
          <w:bdr w:val="none" w:color="auto" w:sz="0" w:space="0"/>
          <w:lang w:val="en-US" w:eastAsia="zh-CN"/>
        </w:rPr>
        <w:t>清原县</w:t>
      </w:r>
      <w:bookmarkStart w:id="0" w:name="_GoBack"/>
      <w:bookmarkEnd w:id="0"/>
      <w:r>
        <w:rPr>
          <w:rStyle w:val="5"/>
          <w:rFonts w:hint="eastAsia" w:ascii="宋体" w:hAnsi="宋体" w:eastAsia="宋体" w:cs="宋体"/>
          <w:i w:val="0"/>
          <w:iCs w:val="0"/>
          <w:caps w:val="0"/>
          <w:color w:val="333333"/>
          <w:spacing w:val="0"/>
          <w:sz w:val="34"/>
          <w:szCs w:val="34"/>
          <w:bdr w:val="none" w:color="auto" w:sz="0" w:space="0"/>
        </w:rPr>
        <w:t>重大政策和重点项目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ourceHanSansCN-Regular" w:hAnsi="SourceHanSansCN-Regular" w:eastAsia="SourceHanSansCN-Regular" w:cs="SourceHanSansCN-Regular"/>
          <w:i w:val="0"/>
          <w:iCs w:val="0"/>
          <w:caps w:val="0"/>
          <w:color w:val="333333"/>
          <w:spacing w:val="0"/>
          <w:sz w:val="19"/>
          <w:szCs w:val="19"/>
        </w:rPr>
      </w:pPr>
      <w:r>
        <w:rPr>
          <w:rStyle w:val="5"/>
          <w:rFonts w:hint="eastAsia" w:ascii="宋体" w:hAnsi="宋体" w:eastAsia="宋体" w:cs="宋体"/>
          <w:i w:val="0"/>
          <w:iCs w:val="0"/>
          <w:caps w:val="0"/>
          <w:color w:val="333333"/>
          <w:spacing w:val="0"/>
          <w:sz w:val="34"/>
          <w:szCs w:val="34"/>
          <w:bdr w:val="none" w:color="auto" w:sz="0" w:space="0"/>
        </w:rPr>
        <w:t>绩效目标情况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ourceHanSansCN-Regular" w:hAnsi="SourceHanSansCN-Regular" w:eastAsia="SourceHanSansCN-Regular" w:cs="SourceHanSansCN-Regular"/>
          <w:i w:val="0"/>
          <w:iCs w:val="0"/>
          <w:caps w:val="0"/>
          <w:color w:val="333333"/>
          <w:spacing w:val="0"/>
          <w:sz w:val="19"/>
          <w:szCs w:val="19"/>
        </w:rPr>
      </w:pPr>
      <w:r>
        <w:rPr>
          <w:rStyle w:val="5"/>
          <w:rFonts w:hint="eastAsia" w:ascii="宋体" w:hAnsi="宋体" w:eastAsia="宋体" w:cs="宋体"/>
          <w:i w:val="0"/>
          <w:iCs w:val="0"/>
          <w:caps w:val="0"/>
          <w:color w:val="333333"/>
          <w:spacing w:val="0"/>
          <w:sz w:val="34"/>
          <w:szCs w:val="34"/>
          <w:bdr w:val="none" w:color="auto" w:sz="0" w:space="0"/>
        </w:rPr>
        <w:t> </w:t>
      </w:r>
    </w:p>
    <w:p>
      <w:pPr>
        <w:tabs>
          <w:tab w:val="left" w:pos="735"/>
        </w:tabs>
        <w:spacing w:before="156" w:beforeLines="50" w:after="156" w:afterLines="50" w:line="500" w:lineRule="exact"/>
        <w:ind w:firstLine="640" w:firstLineChars="200"/>
        <w:rPr>
          <w:rFonts w:hint="eastAsia" w:ascii="仿宋" w:hAnsi="仿宋" w:eastAsia="仿宋"/>
          <w:color w:val="000000"/>
          <w:sz w:val="32"/>
          <w:szCs w:val="32"/>
        </w:rPr>
      </w:pPr>
      <w:r>
        <w:rPr>
          <w:rFonts w:hint="eastAsia" w:ascii="仿宋" w:hAnsi="仿宋" w:eastAsia="仿宋"/>
          <w:sz w:val="32"/>
          <w:szCs w:val="32"/>
        </w:rPr>
        <w:t>深入贯彻落实《中共辽宁省委 辽宁省人民政府关于全面实施预算绩效管理的实施意见》（辽委发［2019]17号）有关工作要求，确保我县到20</w:t>
      </w:r>
      <w:r>
        <w:rPr>
          <w:rFonts w:hint="eastAsia" w:ascii="仿宋" w:hAnsi="仿宋" w:eastAsia="仿宋"/>
          <w:sz w:val="32"/>
          <w:szCs w:val="32"/>
          <w:lang w:val="en-US" w:eastAsia="zh-CN"/>
        </w:rPr>
        <w:t>22</w:t>
      </w:r>
      <w:r>
        <w:rPr>
          <w:rFonts w:hint="eastAsia" w:ascii="仿宋" w:hAnsi="仿宋" w:eastAsia="仿宋"/>
          <w:sz w:val="32"/>
          <w:szCs w:val="32"/>
        </w:rPr>
        <w:t>年底前，基本建成全方位、全覆盖、全过程的预算绩效管理体系。20</w:t>
      </w:r>
      <w:r>
        <w:rPr>
          <w:rFonts w:hint="eastAsia" w:ascii="仿宋" w:hAnsi="仿宋" w:eastAsia="仿宋"/>
          <w:sz w:val="32"/>
          <w:szCs w:val="32"/>
          <w:lang w:val="en-US" w:eastAsia="zh-CN"/>
        </w:rPr>
        <w:t>22</w:t>
      </w:r>
      <w:r>
        <w:rPr>
          <w:rFonts w:hint="eastAsia" w:ascii="仿宋" w:hAnsi="仿宋" w:eastAsia="仿宋"/>
          <w:sz w:val="32"/>
          <w:szCs w:val="32"/>
        </w:rPr>
        <w:t>年将把预算绩效管理工作完成情况纳入到县政府对县直各部门的绩效考核管理体系中，推动工作质量提升，推动改革工作任务按我县全面实施预算绩效管理工作实施方案顺利实施。</w:t>
      </w:r>
    </w:p>
    <w:p>
      <w:pPr>
        <w:tabs>
          <w:tab w:val="left" w:pos="735"/>
        </w:tabs>
        <w:spacing w:before="156" w:beforeLines="50" w:after="156" w:afterLines="50" w:line="500" w:lineRule="exact"/>
        <w:ind w:firstLine="630" w:firstLineChars="196"/>
        <w:rPr>
          <w:rFonts w:hint="eastAsia" w:ascii="仿宋" w:hAnsi="仿宋" w:eastAsia="仿宋"/>
          <w:b/>
          <w:color w:val="000000"/>
          <w:sz w:val="32"/>
          <w:szCs w:val="32"/>
        </w:rPr>
      </w:pPr>
      <w:r>
        <w:rPr>
          <w:rFonts w:hint="eastAsia" w:ascii="仿宋" w:hAnsi="仿宋" w:eastAsia="仿宋"/>
          <w:b/>
          <w:color w:val="000000"/>
          <w:sz w:val="32"/>
          <w:szCs w:val="32"/>
        </w:rPr>
        <w:t>（一）深入完善预算绩效管理工作方法</w:t>
      </w:r>
    </w:p>
    <w:p>
      <w:pPr>
        <w:tabs>
          <w:tab w:val="left" w:pos="735"/>
        </w:tabs>
        <w:spacing w:before="156" w:beforeLines="50" w:after="156" w:afterLines="50"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我们将进一步深入推进预算绩效管理工作。</w:t>
      </w:r>
      <w:r>
        <w:rPr>
          <w:rFonts w:hint="eastAsia" w:ascii="仿宋" w:hAnsi="仿宋" w:eastAsia="仿宋"/>
          <w:b/>
          <w:color w:val="000000"/>
          <w:sz w:val="32"/>
          <w:szCs w:val="32"/>
        </w:rPr>
        <w:t>一是</w:t>
      </w:r>
      <w:r>
        <w:rPr>
          <w:rFonts w:hint="eastAsia" w:ascii="仿宋" w:hAnsi="仿宋" w:eastAsia="仿宋"/>
          <w:color w:val="000000"/>
          <w:sz w:val="32"/>
          <w:szCs w:val="32"/>
        </w:rPr>
        <w:t>着手制定各项目个性化考评指标，并根据实际需要加强事前或过程中的实地监控调查，完善全过程监控手段和方法，</w:t>
      </w:r>
      <w:r>
        <w:rPr>
          <w:rFonts w:hint="eastAsia" w:ascii="仿宋" w:hAnsi="仿宋" w:eastAsia="仿宋"/>
          <w:sz w:val="32"/>
          <w:szCs w:val="32"/>
        </w:rPr>
        <w:t>全面推行绩效运行监控，继续</w:t>
      </w:r>
      <w:r>
        <w:rPr>
          <w:rFonts w:hint="eastAsia" w:ascii="仿宋" w:hAnsi="仿宋" w:eastAsia="仿宋"/>
          <w:color w:val="000000"/>
          <w:sz w:val="32"/>
          <w:szCs w:val="32"/>
        </w:rPr>
        <w:t>完善“半年一报”的形式。</w:t>
      </w:r>
      <w:r>
        <w:rPr>
          <w:rFonts w:hint="eastAsia" w:ascii="仿宋" w:hAnsi="仿宋" w:eastAsia="仿宋"/>
          <w:b/>
          <w:color w:val="000000"/>
          <w:sz w:val="32"/>
          <w:szCs w:val="32"/>
        </w:rPr>
        <w:t>二是</w:t>
      </w:r>
      <w:r>
        <w:rPr>
          <w:rFonts w:hint="eastAsia" w:ascii="仿宋" w:hAnsi="仿宋" w:eastAsia="仿宋"/>
          <w:color w:val="000000"/>
          <w:sz w:val="32"/>
          <w:szCs w:val="32"/>
        </w:rPr>
        <w:t>下一步我们还将研究与财政监督办联合开展绩效工作，以解决人力不足问题。</w:t>
      </w:r>
      <w:r>
        <w:rPr>
          <w:rFonts w:hint="eastAsia" w:ascii="仿宋" w:hAnsi="仿宋" w:eastAsia="仿宋"/>
          <w:b/>
          <w:color w:val="000000"/>
          <w:sz w:val="32"/>
          <w:szCs w:val="32"/>
        </w:rPr>
        <w:t>三是</w:t>
      </w:r>
      <w:r>
        <w:rPr>
          <w:rFonts w:hint="eastAsia" w:ascii="仿宋" w:hAnsi="仿宋" w:eastAsia="仿宋"/>
          <w:color w:val="000000"/>
          <w:sz w:val="32"/>
          <w:szCs w:val="32"/>
        </w:rPr>
        <w:t>要在评价结论的有效利用上做文章、下功夫，评价报告的形成并不意味着工作的结束，而是工作的开始。重点研究将评价结论与预算资金安排、项目资金分配等合理挂钩，评价报告的建议解决情况追踪追责制度、进一步强化对评价结果进行公示和通报等问题。</w:t>
      </w:r>
      <w:r>
        <w:rPr>
          <w:rFonts w:hint="eastAsia" w:ascii="仿宋" w:hAnsi="仿宋" w:eastAsia="仿宋"/>
          <w:b/>
          <w:color w:val="000000"/>
          <w:sz w:val="32"/>
          <w:szCs w:val="32"/>
        </w:rPr>
        <w:t>四是</w:t>
      </w:r>
      <w:r>
        <w:rPr>
          <w:rFonts w:hint="eastAsia" w:ascii="仿宋" w:hAnsi="仿宋" w:eastAsia="仿宋"/>
          <w:color w:val="000000"/>
          <w:sz w:val="32"/>
          <w:szCs w:val="32"/>
        </w:rPr>
        <w:t>扩大绩效预算编制范围，选择性开展重点评价。我们将在目前局内支出业务股室上报绩效预算编制试点单位和项目的基础上，按照《规划》要求，继续扩大编制范围，对于一定数额以上的项目全部要求其编制绩效预算，实现绩效预算编制工作的制度化。继续</w:t>
      </w:r>
      <w:r>
        <w:rPr>
          <w:rFonts w:hint="eastAsia" w:ascii="仿宋" w:hAnsi="仿宋" w:eastAsia="仿宋"/>
          <w:sz w:val="32"/>
          <w:szCs w:val="32"/>
        </w:rPr>
        <w:t>提高绩效目标预算编制项目资金占财政资金的比重。同时，在所有这些项目中，选择社会关注度较高，金额较大的项目进行重点绩效评价。并着重抓好其中如教育、社保等领域的全过程深度绩效评价，通过深入开展评价，为以后的工作开展摸清套路、理清思路。</w:t>
      </w:r>
    </w:p>
    <w:p>
      <w:pPr>
        <w:tabs>
          <w:tab w:val="left" w:pos="735"/>
        </w:tabs>
        <w:spacing w:before="156" w:beforeLines="50" w:after="156" w:afterLines="50" w:line="500" w:lineRule="exact"/>
        <w:ind w:firstLine="643" w:firstLineChars="200"/>
        <w:rPr>
          <w:rFonts w:hint="eastAsia" w:ascii="仿宋" w:hAnsi="仿宋" w:eastAsia="仿宋"/>
          <w:b/>
          <w:sz w:val="32"/>
          <w:szCs w:val="32"/>
        </w:rPr>
      </w:pPr>
      <w:r>
        <w:rPr>
          <w:rFonts w:hint="eastAsia" w:ascii="仿宋" w:hAnsi="仿宋" w:eastAsia="仿宋"/>
          <w:b/>
          <w:color w:val="000000"/>
          <w:sz w:val="32"/>
          <w:szCs w:val="32"/>
        </w:rPr>
        <w:t>（二）</w:t>
      </w:r>
      <w:r>
        <w:rPr>
          <w:rFonts w:hint="eastAsia" w:ascii="仿宋" w:hAnsi="仿宋" w:eastAsia="仿宋"/>
          <w:b/>
          <w:sz w:val="32"/>
          <w:szCs w:val="32"/>
        </w:rPr>
        <w:t>强化学习，提升绩效评价工作水平</w:t>
      </w:r>
    </w:p>
    <w:p>
      <w:pPr>
        <w:spacing w:before="156" w:beforeLines="50" w:after="156" w:afterLines="50" w:line="500" w:lineRule="exact"/>
        <w:ind w:firstLine="640" w:firstLineChars="200"/>
        <w:rPr>
          <w:rFonts w:hint="eastAsia" w:ascii="仿宋" w:hAnsi="仿宋" w:eastAsia="仿宋"/>
          <w:sz w:val="32"/>
          <w:szCs w:val="32"/>
        </w:rPr>
      </w:pPr>
      <w:r>
        <w:rPr>
          <w:rFonts w:hint="eastAsia" w:ascii="仿宋" w:hAnsi="仿宋" w:eastAsia="仿宋"/>
          <w:sz w:val="32"/>
          <w:szCs w:val="32"/>
        </w:rPr>
        <w:t>“打铁还需自身硬”，目前，评价队伍人员知识面不够宽泛，业务仍不熟练，水平亟待进一步提升。下一步，我们首先是将强化学习，提高培训档次和水平，加强培训力度，使评价人员尽快胜任工作。再有就是通过实施绩效评价的过程，使我们尽快熟悉和掌握项目所涉及的各种业务和政策，加强各方面的知识储备。同时也能提升局内各业务股室人员对对口单位业务的了解，提升日常管理财政资金的水平和能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ODFlYjEyYmFkYTAzNmI3MTc3OGQxNWVkZDg5OTcifQ=="/>
  </w:docVars>
  <w:rsids>
    <w:rsidRoot w:val="42CE53B6"/>
    <w:rsid w:val="42CE53B6"/>
    <w:rsid w:val="4C233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2023-09-20T02:55:00Z</dcterms:created>
  <dc:creator>Administrator</dc:creator>
  <cp:lastModifiedBy>Administrator</cp:lastModifiedBy>
  <dcterms:modified xsi:type="dcterms:W3CDTF">2023-09-20T03:19:53Z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F247732E784B46E890FCC699B1D522A8_13</vt:lpwstr>
  </property>
</Properties>
</file>