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微软雅黑" w:eastAsia="方正小标宋简体"/>
          <w:b/>
          <w:bCs/>
          <w:color w:val="000000"/>
          <w:sz w:val="36"/>
          <w:szCs w:val="36"/>
          <w:shd w:val="clear" w:color="auto" w:fill="FFFFFF"/>
        </w:rPr>
      </w:pPr>
      <w:r>
        <w:rPr>
          <w:rFonts w:hint="eastAsia" w:ascii="微软雅黑" w:hAnsi="微软雅黑" w:eastAsia="微软雅黑"/>
          <w:b/>
          <w:bCs/>
          <w:color w:val="000000"/>
          <w:sz w:val="36"/>
          <w:szCs w:val="36"/>
          <w:shd w:val="clear" w:color="auto" w:fill="FFFFFF"/>
        </w:rPr>
        <w:t xml:space="preserve">     </w:t>
      </w:r>
      <w:r>
        <w:rPr>
          <w:rFonts w:hint="eastAsia" w:ascii="方正小标宋简体" w:hAnsi="微软雅黑" w:eastAsia="方正小标宋简体"/>
          <w:b/>
          <w:bCs/>
          <w:color w:val="000000"/>
          <w:sz w:val="36"/>
          <w:szCs w:val="36"/>
          <w:shd w:val="clear" w:color="auto" w:fill="FFFFFF"/>
        </w:rPr>
        <w:t>清原县人社局20</w:t>
      </w:r>
      <w:r>
        <w:rPr>
          <w:rFonts w:hint="eastAsia" w:ascii="方正小标宋简体" w:hAnsi="微软雅黑" w:eastAsia="方正小标宋简体"/>
          <w:b/>
          <w:bCs/>
          <w:color w:val="000000"/>
          <w:sz w:val="36"/>
          <w:szCs w:val="36"/>
          <w:shd w:val="clear" w:color="auto" w:fill="FFFFFF"/>
          <w:lang w:val="en-US" w:eastAsia="zh-CN"/>
        </w:rPr>
        <w:t>20</w:t>
      </w:r>
      <w:r>
        <w:rPr>
          <w:rFonts w:hint="eastAsia" w:ascii="方正小标宋简体" w:hAnsi="微软雅黑" w:eastAsia="方正小标宋简体"/>
          <w:b/>
          <w:bCs/>
          <w:color w:val="000000"/>
          <w:sz w:val="36"/>
          <w:szCs w:val="36"/>
          <w:shd w:val="clear" w:color="auto" w:fill="FFFFFF"/>
        </w:rPr>
        <w:t>年政府信息公开工作年度报告</w:t>
      </w:r>
    </w:p>
    <w:p>
      <w:pPr>
        <w:widowControl/>
        <w:jc w:val="left"/>
        <w:rPr>
          <w:rFonts w:hint="eastAsia" w:ascii="仿宋_GB2312" w:hAnsi="微软雅黑" w:eastAsia="仿宋_GB2312" w:cs="宋体"/>
          <w:color w:val="000000"/>
          <w:kern w:val="0"/>
          <w:sz w:val="32"/>
          <w:szCs w:val="32"/>
        </w:rPr>
      </w:pP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根据《中华人民共和国政府信息公开条例》规定，由人社局办公室编制完成本报告，现予以公布。</w:t>
      </w:r>
    </w:p>
    <w:p>
      <w:pPr>
        <w:widowControl/>
        <w:jc w:val="left"/>
        <w:rPr>
          <w:rFonts w:hint="eastAsia" w:ascii="仿宋_GB2312" w:hAnsi="微软雅黑" w:cs="宋体"/>
          <w:color w:val="000000"/>
          <w:kern w:val="0"/>
          <w:sz w:val="32"/>
          <w:szCs w:val="32"/>
        </w:rPr>
      </w:pPr>
      <w:r>
        <w:rPr>
          <w:rFonts w:hint="eastAsia" w:ascii="仿宋_GB2312" w:hAnsi="微软雅黑" w:eastAsia="仿宋_GB2312" w:cs="宋体"/>
          <w:color w:val="000000"/>
          <w:kern w:val="0"/>
          <w:sz w:val="32"/>
          <w:szCs w:val="32"/>
        </w:rPr>
        <w:t xml:space="preserve">    </w:t>
      </w:r>
      <w:r>
        <w:rPr>
          <w:rFonts w:hint="eastAsia" w:ascii="黑体" w:hAnsi="黑体" w:eastAsia="黑体" w:cs="宋体"/>
          <w:color w:val="000000"/>
          <w:kern w:val="0"/>
          <w:sz w:val="32"/>
          <w:szCs w:val="32"/>
        </w:rPr>
        <w:t>一、20</w:t>
      </w:r>
      <w:r>
        <w:rPr>
          <w:rFonts w:hint="eastAsia" w:ascii="黑体" w:hAnsi="黑体" w:eastAsia="黑体" w:cs="宋体"/>
          <w:color w:val="000000"/>
          <w:kern w:val="0"/>
          <w:sz w:val="32"/>
          <w:szCs w:val="32"/>
          <w:lang w:val="en-US" w:eastAsia="zh-CN"/>
        </w:rPr>
        <w:t>20</w:t>
      </w:r>
      <w:r>
        <w:rPr>
          <w:rFonts w:hint="eastAsia" w:ascii="黑体" w:hAnsi="黑体" w:eastAsia="黑体" w:cs="宋体"/>
          <w:color w:val="000000"/>
          <w:kern w:val="0"/>
          <w:sz w:val="32"/>
          <w:szCs w:val="32"/>
        </w:rPr>
        <w:t>年政府信息公开总体情况</w:t>
      </w:r>
      <w:r>
        <w:rPr>
          <w:rFonts w:hint="eastAsia" w:ascii="仿宋_GB2312" w:hAnsi="MS Gothic" w:eastAsia="MS Gothic" w:cs="MS Gothic"/>
          <w:color w:val="000000"/>
          <w:kern w:val="0"/>
          <w:sz w:val="32"/>
          <w:szCs w:val="32"/>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20</w:t>
      </w:r>
      <w:r>
        <w:rPr>
          <w:rFonts w:hint="eastAsia" w:ascii="仿宋_GB2312" w:hAnsi="微软雅黑" w:eastAsia="仿宋_GB2312" w:cs="宋体"/>
          <w:color w:val="000000"/>
          <w:kern w:val="0"/>
          <w:sz w:val="32"/>
          <w:szCs w:val="32"/>
          <w:lang w:val="en-US" w:eastAsia="zh-CN"/>
        </w:rPr>
        <w:t>20</w:t>
      </w:r>
      <w:r>
        <w:rPr>
          <w:rFonts w:hint="eastAsia" w:ascii="仿宋_GB2312" w:hAnsi="微软雅黑" w:eastAsia="仿宋_GB2312" w:cs="宋体"/>
          <w:color w:val="000000"/>
          <w:kern w:val="0"/>
          <w:sz w:val="32"/>
          <w:szCs w:val="32"/>
        </w:rPr>
        <w:t>年，县人社局深入贯彻落实上级有关文件精神，积极推进人社信息公开化、制度化、规范化，不断推进信息公开工作深入开展。</w:t>
      </w:r>
    </w:p>
    <w:p>
      <w:pPr>
        <w:widowControl/>
        <w:jc w:val="left"/>
        <w:rPr>
          <w:rFonts w:hint="eastAsia" w:ascii="仿宋_GB2312" w:hAnsi="微软雅黑" w:eastAsia="仿宋_GB2312" w:cs="宋体"/>
          <w:b/>
          <w:color w:val="000000"/>
          <w:kern w:val="0"/>
          <w:sz w:val="32"/>
          <w:szCs w:val="32"/>
        </w:rPr>
      </w:pPr>
      <w:r>
        <w:rPr>
          <w:rFonts w:hint="eastAsia" w:ascii="仿宋_GB2312" w:hAnsi="微软雅黑" w:eastAsia="仿宋_GB2312" w:cs="宋体"/>
          <w:color w:val="000000"/>
          <w:kern w:val="0"/>
          <w:sz w:val="32"/>
          <w:szCs w:val="32"/>
        </w:rPr>
        <w:t xml:space="preserve">    </w:t>
      </w:r>
      <w:r>
        <w:rPr>
          <w:rFonts w:hint="eastAsia" w:ascii="仿宋_GB2312" w:hAnsi="微软雅黑" w:eastAsia="仿宋_GB2312" w:cs="宋体"/>
          <w:b/>
          <w:color w:val="000000"/>
          <w:kern w:val="0"/>
          <w:sz w:val="32"/>
          <w:szCs w:val="32"/>
        </w:rPr>
        <w:t>(一)总体工作情况</w:t>
      </w:r>
      <w:r>
        <w:rPr>
          <w:rFonts w:hint="eastAsia" w:ascii="仿宋_GB2312" w:hAnsi="MS Gothic" w:eastAsia="MS Gothic" w:cs="MS Gothic"/>
          <w:b/>
          <w:color w:val="000000"/>
          <w:kern w:val="0"/>
          <w:sz w:val="32"/>
          <w:szCs w:val="32"/>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认真贯彻落实《中华人民共和国政府信息公开条例》，分管领导直接负责、指导、协调、监督政府信息公开工作情况。围绕人社工作的重点、热点、难点问题和群众关切，坚持统筹兼顾、突出重点，坚持以公开为常态、不公开为例外，坚持正确、准确、及时，大力推进决策、执行、管理、服务、结果公开，较好的完成信息公开工作。</w:t>
      </w:r>
      <w:r>
        <w:rPr>
          <w:rFonts w:hint="eastAsia" w:ascii="仿宋_GB2312" w:hAnsi="MS Gothic" w:eastAsia="MS Gothic" w:cs="MS Gothic"/>
          <w:color w:val="000000"/>
          <w:kern w:val="0"/>
          <w:sz w:val="32"/>
          <w:szCs w:val="32"/>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1.健全工作机制，强化组织保障。不断完善信息发布协调机制和重要信息审查批准机制，在领导小组的指导下确保人社信息发布的准确一致。</w:t>
      </w:r>
      <w:r>
        <w:rPr>
          <w:rFonts w:hint="eastAsia" w:ascii="仿宋_GB2312" w:hAnsi="MS Gothic" w:eastAsia="MS Gothic" w:cs="MS Gothic"/>
          <w:color w:val="000000"/>
          <w:kern w:val="0"/>
          <w:sz w:val="32"/>
          <w:szCs w:val="32"/>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2.完善工作制度，规范信息公开工作。通过深入调研科学论证，结合自身实际，不断研究人社信息公开的方式方法，创新完善工作制度。</w:t>
      </w:r>
      <w:r>
        <w:rPr>
          <w:rFonts w:hint="eastAsia" w:ascii="仿宋_GB2312" w:hAnsi="MS Gothic" w:eastAsia="MS Gothic" w:cs="MS Gothic"/>
          <w:color w:val="000000"/>
          <w:kern w:val="0"/>
          <w:sz w:val="32"/>
          <w:szCs w:val="32"/>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3.积极开展信息公开宣传工作。20</w:t>
      </w:r>
      <w:r>
        <w:rPr>
          <w:rFonts w:hint="eastAsia" w:ascii="仿宋_GB2312" w:hAnsi="微软雅黑" w:eastAsia="仿宋_GB2312" w:cs="宋体"/>
          <w:color w:val="000000"/>
          <w:kern w:val="0"/>
          <w:sz w:val="32"/>
          <w:szCs w:val="32"/>
          <w:lang w:val="en-US" w:eastAsia="zh-CN"/>
        </w:rPr>
        <w:t>20</w:t>
      </w:r>
      <w:bookmarkStart w:id="0" w:name="_GoBack"/>
      <w:bookmarkEnd w:id="0"/>
      <w:r>
        <w:rPr>
          <w:rFonts w:hint="eastAsia" w:ascii="仿宋_GB2312" w:hAnsi="微软雅黑" w:eastAsia="仿宋_GB2312" w:cs="宋体"/>
          <w:color w:val="000000"/>
          <w:kern w:val="0"/>
          <w:sz w:val="32"/>
          <w:szCs w:val="32"/>
        </w:rPr>
        <w:t>年5月15日是辽宁省第十</w:t>
      </w:r>
      <w:r>
        <w:rPr>
          <w:rFonts w:hint="eastAsia" w:ascii="仿宋_GB2312" w:hAnsi="微软雅黑" w:eastAsia="仿宋_GB2312" w:cs="宋体"/>
          <w:color w:val="000000"/>
          <w:kern w:val="0"/>
          <w:sz w:val="32"/>
          <w:szCs w:val="32"/>
          <w:lang w:eastAsia="zh-CN"/>
        </w:rPr>
        <w:t>四</w:t>
      </w:r>
      <w:r>
        <w:rPr>
          <w:rFonts w:hint="eastAsia" w:ascii="仿宋_GB2312" w:hAnsi="微软雅黑" w:eastAsia="仿宋_GB2312" w:cs="宋体"/>
          <w:color w:val="000000"/>
          <w:kern w:val="0"/>
          <w:sz w:val="32"/>
          <w:szCs w:val="32"/>
        </w:rPr>
        <w:t>个“政务公开日”，为深入宣传贯彻政府信息公开条例，助力“重实干、强执行、抓落实”专项行动落实落地，进行了现场宣传、现场办公、现场解答群众咨询等服务活动。设立咨询台，通过展板、现场政策咨询、发放宣传资料等形式，公开政务服务事项办事流程、办理结果等工作要素，发放宣传单、宣传册等宣传材料近1000份。同时，工作人员详细解答了群众提出的就业人才等人力资源和社会保障方面的各类问题，接受现场群众现场评议和投诉，取得了良好的宣传效果。</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(二)主动公开政府信息情况</w:t>
      </w:r>
      <w:r>
        <w:rPr>
          <w:rFonts w:hint="eastAsia" w:ascii="仿宋_GB2312" w:hAnsi="MS Gothic" w:eastAsia="MS Gothic" w:cs="MS Gothic"/>
          <w:color w:val="000000"/>
          <w:kern w:val="0"/>
          <w:sz w:val="32"/>
          <w:szCs w:val="32"/>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公开了领导分工、部门职能、人才就业等信息。</w:t>
      </w:r>
      <w:r>
        <w:rPr>
          <w:rFonts w:hint="eastAsia" w:ascii="仿宋_GB2312" w:hAnsi="MS Gothic" w:eastAsia="MS Gothic" w:cs="MS Gothic"/>
          <w:color w:val="000000"/>
          <w:kern w:val="0"/>
          <w:sz w:val="32"/>
          <w:szCs w:val="32"/>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(三)积极回应解读，确保社会大局和谐稳定</w:t>
      </w:r>
      <w:r>
        <w:rPr>
          <w:rFonts w:hint="eastAsia" w:ascii="仿宋_GB2312" w:hAnsi="MS Gothic" w:eastAsia="MS Gothic" w:cs="MS Gothic"/>
          <w:color w:val="000000"/>
          <w:kern w:val="0"/>
          <w:sz w:val="32"/>
          <w:szCs w:val="32"/>
        </w:rPr>
        <w:t>  </w:t>
      </w:r>
    </w:p>
    <w:p>
      <w:pPr>
        <w:widowControl/>
        <w:jc w:val="left"/>
        <w:rPr>
          <w:rFonts w:hint="eastAsia" w:ascii="仿宋_GB2312" w:hAnsi="微软雅黑" w:cs="宋体"/>
          <w:color w:val="000000"/>
          <w:kern w:val="0"/>
          <w:sz w:val="32"/>
          <w:szCs w:val="32"/>
        </w:rPr>
      </w:pPr>
      <w:r>
        <w:rPr>
          <w:rFonts w:hint="eastAsia" w:ascii="仿宋_GB2312" w:hAnsi="微软雅黑" w:eastAsia="仿宋_GB2312" w:cs="宋体"/>
          <w:color w:val="000000"/>
          <w:kern w:val="0"/>
          <w:sz w:val="32"/>
          <w:szCs w:val="32"/>
        </w:rPr>
        <w:t xml:space="preserve">    对社会热点问题及时进行关切回复，消除百姓心中的疑虑。积极配合政府民心网办公室工作，加强人社系统民心网平台互动工作，答复相关咨询、投诉等。</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(四)及时主动公开人社信息</w:t>
      </w:r>
      <w:r>
        <w:rPr>
          <w:rFonts w:hint="eastAsia" w:ascii="仿宋_GB2312" w:hAnsi="MS Gothic" w:eastAsia="MS Gothic" w:cs="MS Gothic"/>
          <w:color w:val="000000"/>
          <w:kern w:val="0"/>
          <w:sz w:val="32"/>
          <w:szCs w:val="32"/>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不断增强依法公开、主动公开的意识，不断规范人社信息主动公开内容，创新人社信息主动公开形式，突出人社信息主动公开重点。完善主动公开机制，就业创业网络平台不断健全，丰富了信息公开渠道，深化了主动公开体系。</w:t>
      </w:r>
      <w:r>
        <w:rPr>
          <w:rFonts w:hint="eastAsia" w:ascii="仿宋_GB2312" w:hAnsi="MS Gothic" w:eastAsia="MS Gothic" w:cs="MS Gothic"/>
          <w:color w:val="000000"/>
          <w:kern w:val="0"/>
          <w:sz w:val="32"/>
          <w:szCs w:val="32"/>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(五)申请行政复议、提起行政诉讼情况</w:t>
      </w:r>
      <w:r>
        <w:rPr>
          <w:rFonts w:hint="eastAsia" w:ascii="仿宋_GB2312" w:hAnsi="MS Gothic" w:eastAsia="MS Gothic" w:cs="MS Gothic"/>
          <w:color w:val="000000"/>
          <w:kern w:val="0"/>
          <w:sz w:val="32"/>
          <w:szCs w:val="32"/>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未发生因信息公开申请行政复议、提起行政诉讼的情况。</w:t>
      </w:r>
      <w:r>
        <w:rPr>
          <w:rFonts w:hint="eastAsia" w:ascii="仿宋_GB2312" w:hAnsi="MS Gothic" w:eastAsia="MS Gothic" w:cs="MS Gothic"/>
          <w:color w:val="000000"/>
          <w:kern w:val="0"/>
          <w:sz w:val="32"/>
          <w:szCs w:val="32"/>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(六)人社信息公开工作存在的主要问题及整改情况</w:t>
      </w:r>
      <w:r>
        <w:rPr>
          <w:rFonts w:hint="eastAsia" w:ascii="仿宋_GB2312" w:hAnsi="MS Gothic" w:eastAsia="MS Gothic" w:cs="MS Gothic"/>
          <w:color w:val="000000"/>
          <w:kern w:val="0"/>
          <w:sz w:val="32"/>
          <w:szCs w:val="32"/>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32"/>
          <w:szCs w:val="32"/>
        </w:rPr>
        <w:t xml:space="preserve">    </w:t>
      </w:r>
      <w:r>
        <w:rPr>
          <w:rFonts w:hint="eastAsia" w:ascii="黑体" w:hAnsi="黑体" w:eastAsia="黑体" w:cs="宋体"/>
          <w:color w:val="000000"/>
          <w:kern w:val="0"/>
          <w:sz w:val="32"/>
          <w:szCs w:val="32"/>
        </w:rPr>
        <w:t>二、主动公开政府信息情况</w:t>
      </w:r>
      <w:r>
        <w:rPr>
          <w:rFonts w:hint="eastAsia" w:ascii="黑体" w:hAnsi="黑体" w:eastAsia="MS Gothic" w:cs="MS Gothic"/>
          <w:color w:val="000000"/>
          <w:kern w:val="0"/>
          <w:sz w:val="32"/>
          <w:szCs w:val="32"/>
        </w:rPr>
        <w:t> </w:t>
      </w:r>
      <w:r>
        <w:rPr>
          <w:rFonts w:hint="eastAsia" w:ascii="仿宋_GB2312" w:hAnsi="MS Gothic" w:eastAsia="MS Gothic" w:cs="MS Gothic"/>
          <w:color w:val="000000"/>
          <w:kern w:val="0"/>
          <w:sz w:val="32"/>
          <w:szCs w:val="32"/>
        </w:rPr>
        <w:t> </w:t>
      </w:r>
    </w:p>
    <w:tbl>
      <w:tblPr>
        <w:tblStyle w:val="3"/>
        <w:tblW w:w="0" w:type="auto"/>
        <w:jc w:val="center"/>
        <w:tblLayout w:type="autofit"/>
        <w:tblCellMar>
          <w:top w:w="15" w:type="dxa"/>
          <w:left w:w="15" w:type="dxa"/>
          <w:bottom w:w="15" w:type="dxa"/>
          <w:right w:w="15" w:type="dxa"/>
        </w:tblCellMar>
      </w:tblPr>
      <w:tblGrid>
        <w:gridCol w:w="750"/>
        <w:gridCol w:w="7972"/>
        <w:gridCol w:w="486"/>
        <w:gridCol w:w="568"/>
      </w:tblGrid>
      <w:tr>
        <w:tblPrEx>
          <w:tblCellMar>
            <w:top w:w="15" w:type="dxa"/>
            <w:left w:w="15" w:type="dxa"/>
            <w:bottom w:w="15" w:type="dxa"/>
            <w:right w:w="15" w:type="dxa"/>
          </w:tblCellMar>
        </w:tblPrEx>
        <w:trPr>
          <w:jc w:val="center"/>
        </w:trPr>
        <w:tc>
          <w:tcPr>
            <w:tcW w:w="9776" w:type="dxa"/>
            <w:gridSpan w:val="4"/>
            <w:shd w:val="clear" w:color="auto" w:fill="C6D9F1"/>
            <w:vAlign w:val="center"/>
          </w:tcPr>
          <w:p>
            <w:pPr>
              <w:widowControl/>
              <w:jc w:val="center"/>
              <w:rPr>
                <w:rFonts w:hint="eastAsia" w:ascii="仿宋_GB2312" w:hAnsi="宋体" w:eastAsia="仿宋_GB2312" w:cs="宋体"/>
                <w:kern w:val="0"/>
                <w:sz w:val="32"/>
                <w:szCs w:val="32"/>
              </w:rPr>
            </w:pPr>
            <w:r>
              <w:rPr>
                <w:rFonts w:hint="eastAsia" w:ascii="仿宋_GB2312" w:hAnsi="宋体" w:eastAsia="仿宋_GB2312" w:cs="宋体"/>
                <w:color w:val="000000"/>
                <w:kern w:val="0"/>
                <w:sz w:val="32"/>
                <w:szCs w:val="32"/>
              </w:rPr>
              <w:t>第二十条第（一）项</w:t>
            </w:r>
          </w:p>
        </w:tc>
      </w:tr>
      <w:tr>
        <w:tblPrEx>
          <w:tblCellMar>
            <w:top w:w="15" w:type="dxa"/>
            <w:left w:w="15" w:type="dxa"/>
            <w:bottom w:w="15" w:type="dxa"/>
            <w:right w:w="15" w:type="dxa"/>
          </w:tblCellMar>
        </w:tblPrEx>
        <w:trPr>
          <w:jc w:val="center"/>
        </w:trPr>
        <w:tc>
          <w:tcPr>
            <w:tcW w:w="1119" w:type="dxa"/>
            <w:vAlign w:val="center"/>
          </w:tcPr>
          <w:p>
            <w:pPr>
              <w:widowControl/>
              <w:jc w:val="center"/>
              <w:rPr>
                <w:rFonts w:hint="eastAsia" w:ascii="仿宋_GB2312" w:hAnsi="宋体" w:eastAsia="仿宋_GB2312" w:cs="宋体"/>
                <w:kern w:val="0"/>
                <w:sz w:val="24"/>
                <w:szCs w:val="24"/>
              </w:rPr>
            </w:pPr>
          </w:p>
        </w:tc>
        <w:tc>
          <w:tcPr>
            <w:tcW w:w="7324" w:type="dxa"/>
            <w:vAlign w:val="center"/>
          </w:tcPr>
          <w:tbl>
            <w:tblPr>
              <w:tblStyle w:val="4"/>
              <w:tblW w:w="7932"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80"/>
              <w:gridCol w:w="1984"/>
              <w:gridCol w:w="1984"/>
              <w:gridCol w:w="198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5" w:hRule="atLeast"/>
              </w:trPr>
              <w:tc>
                <w:tcPr>
                  <w:tcW w:w="1980" w:type="dxa"/>
                </w:tcPr>
                <w:p>
                  <w:pPr>
                    <w:widowControl/>
                    <w:spacing w:line="240" w:lineRule="auto"/>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信息内容</w:t>
                  </w:r>
                </w:p>
              </w:tc>
              <w:tc>
                <w:tcPr>
                  <w:tcW w:w="1984" w:type="dxa"/>
                </w:tcPr>
                <w:p>
                  <w:pPr>
                    <w:widowControl/>
                    <w:spacing w:line="240" w:lineRule="auto"/>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本年新公开数</w:t>
                  </w:r>
                </w:p>
              </w:tc>
              <w:tc>
                <w:tcPr>
                  <w:tcW w:w="1984" w:type="dxa"/>
                </w:tcPr>
                <w:p>
                  <w:pPr>
                    <w:widowControl/>
                    <w:spacing w:line="240" w:lineRule="auto"/>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本年新制作数量</w:t>
                  </w:r>
                </w:p>
              </w:tc>
              <w:tc>
                <w:tcPr>
                  <w:tcW w:w="1984" w:type="dxa"/>
                </w:tcPr>
                <w:p>
                  <w:pPr>
                    <w:widowControl/>
                    <w:spacing w:line="240" w:lineRule="auto"/>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对外公开总数量</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5" w:hRule="atLeast"/>
              </w:trPr>
              <w:tc>
                <w:tcPr>
                  <w:tcW w:w="1980" w:type="dxa"/>
                </w:tcPr>
                <w:p>
                  <w:pPr>
                    <w:widowControl/>
                    <w:spacing w:line="240" w:lineRule="auto"/>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规章</w:t>
                  </w:r>
                </w:p>
              </w:tc>
              <w:tc>
                <w:tcPr>
                  <w:tcW w:w="1984" w:type="dxa"/>
                </w:tcPr>
                <w:p>
                  <w:pPr>
                    <w:widowControl/>
                    <w:spacing w:line="240" w:lineRule="auto"/>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0</w:t>
                  </w:r>
                </w:p>
              </w:tc>
              <w:tc>
                <w:tcPr>
                  <w:tcW w:w="1984" w:type="dxa"/>
                </w:tcPr>
                <w:p>
                  <w:pPr>
                    <w:widowControl/>
                    <w:spacing w:line="240" w:lineRule="auto"/>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0</w:t>
                  </w:r>
                </w:p>
              </w:tc>
              <w:tc>
                <w:tcPr>
                  <w:tcW w:w="1984" w:type="dxa"/>
                </w:tcPr>
                <w:p>
                  <w:pPr>
                    <w:widowControl/>
                    <w:spacing w:line="240" w:lineRule="auto"/>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0</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65" w:hRule="atLeast"/>
              </w:trPr>
              <w:tc>
                <w:tcPr>
                  <w:tcW w:w="1980" w:type="dxa"/>
                </w:tcPr>
                <w:p>
                  <w:pPr>
                    <w:widowControl/>
                    <w:spacing w:line="240" w:lineRule="auto"/>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规范性文件</w:t>
                  </w:r>
                </w:p>
              </w:tc>
              <w:tc>
                <w:tcPr>
                  <w:tcW w:w="1984" w:type="dxa"/>
                </w:tcPr>
                <w:p>
                  <w:pPr>
                    <w:widowControl/>
                    <w:spacing w:line="240" w:lineRule="auto"/>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0</w:t>
                  </w:r>
                </w:p>
              </w:tc>
              <w:tc>
                <w:tcPr>
                  <w:tcW w:w="1984" w:type="dxa"/>
                </w:tcPr>
                <w:p>
                  <w:pPr>
                    <w:widowControl/>
                    <w:spacing w:line="240" w:lineRule="auto"/>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0</w:t>
                  </w:r>
                </w:p>
              </w:tc>
              <w:tc>
                <w:tcPr>
                  <w:tcW w:w="1984" w:type="dxa"/>
                </w:tcPr>
                <w:p>
                  <w:pPr>
                    <w:widowControl/>
                    <w:spacing w:line="240" w:lineRule="auto"/>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0</w:t>
                  </w:r>
                </w:p>
              </w:tc>
            </w:tr>
          </w:tbl>
          <w:p>
            <w:pPr>
              <w:widowControl/>
              <w:jc w:val="center"/>
              <w:rPr>
                <w:rFonts w:hint="eastAsia" w:ascii="仿宋_GB2312" w:hAnsi="宋体" w:eastAsia="仿宋_GB2312" w:cs="宋体"/>
                <w:kern w:val="0"/>
                <w:sz w:val="24"/>
                <w:szCs w:val="24"/>
              </w:rPr>
            </w:pPr>
          </w:p>
        </w:tc>
        <w:tc>
          <w:tcPr>
            <w:tcW w:w="597" w:type="dxa"/>
            <w:vAlign w:val="center"/>
          </w:tcPr>
          <w:p>
            <w:pPr>
              <w:widowControl/>
              <w:jc w:val="center"/>
              <w:rPr>
                <w:rFonts w:hint="eastAsia" w:ascii="仿宋_GB2312" w:hAnsi="宋体" w:eastAsia="仿宋_GB2312" w:cs="宋体"/>
                <w:kern w:val="0"/>
                <w:sz w:val="24"/>
                <w:szCs w:val="24"/>
              </w:rPr>
            </w:pPr>
          </w:p>
        </w:tc>
        <w:tc>
          <w:tcPr>
            <w:tcW w:w="736" w:type="dxa"/>
            <w:vAlign w:val="center"/>
          </w:tcPr>
          <w:p>
            <w:pPr>
              <w:widowControl/>
              <w:jc w:val="center"/>
              <w:rPr>
                <w:rFonts w:hint="eastAsia" w:ascii="仿宋_GB2312" w:hAnsi="宋体" w:eastAsia="仿宋_GB2312" w:cs="宋体"/>
                <w:kern w:val="0"/>
                <w:sz w:val="24"/>
                <w:szCs w:val="24"/>
              </w:rPr>
            </w:pPr>
          </w:p>
        </w:tc>
      </w:tr>
      <w:tr>
        <w:tblPrEx>
          <w:tblCellMar>
            <w:top w:w="15" w:type="dxa"/>
            <w:left w:w="15" w:type="dxa"/>
            <w:bottom w:w="15" w:type="dxa"/>
            <w:right w:w="15" w:type="dxa"/>
          </w:tblCellMar>
        </w:tblPrEx>
        <w:trPr>
          <w:jc w:val="center"/>
        </w:trPr>
        <w:tc>
          <w:tcPr>
            <w:tcW w:w="1119" w:type="dxa"/>
            <w:vAlign w:val="center"/>
          </w:tcPr>
          <w:p>
            <w:pPr>
              <w:widowControl/>
              <w:jc w:val="center"/>
              <w:rPr>
                <w:rFonts w:hint="eastAsia" w:ascii="仿宋_GB2312" w:hAnsi="宋体" w:eastAsia="仿宋_GB2312" w:cs="宋体"/>
                <w:color w:val="000000"/>
                <w:kern w:val="0"/>
                <w:sz w:val="20"/>
                <w:szCs w:val="20"/>
              </w:rPr>
            </w:pPr>
          </w:p>
        </w:tc>
        <w:tc>
          <w:tcPr>
            <w:tcW w:w="7324" w:type="dxa"/>
            <w:vAlign w:val="center"/>
          </w:tcPr>
          <w:p>
            <w:pPr>
              <w:widowControl/>
              <w:jc w:val="center"/>
              <w:rPr>
                <w:rFonts w:hint="eastAsia" w:ascii="仿宋_GB2312" w:hAnsi="宋体" w:eastAsia="仿宋_GB2312" w:cs="宋体"/>
                <w:color w:val="000000"/>
                <w:kern w:val="0"/>
                <w:sz w:val="20"/>
                <w:szCs w:val="20"/>
              </w:rPr>
            </w:pPr>
          </w:p>
        </w:tc>
        <w:tc>
          <w:tcPr>
            <w:tcW w:w="597" w:type="dxa"/>
            <w:vAlign w:val="center"/>
          </w:tcPr>
          <w:p>
            <w:pPr>
              <w:widowControl/>
              <w:jc w:val="center"/>
              <w:rPr>
                <w:rFonts w:hint="eastAsia" w:ascii="仿宋_GB2312" w:hAnsi="宋体" w:eastAsia="仿宋_GB2312" w:cs="宋体"/>
                <w:color w:val="000000"/>
                <w:kern w:val="0"/>
                <w:sz w:val="20"/>
                <w:szCs w:val="20"/>
              </w:rPr>
            </w:pPr>
          </w:p>
        </w:tc>
        <w:tc>
          <w:tcPr>
            <w:tcW w:w="736" w:type="dxa"/>
            <w:vAlign w:val="center"/>
          </w:tcPr>
          <w:p>
            <w:pPr>
              <w:widowControl/>
              <w:jc w:val="center"/>
              <w:rPr>
                <w:rFonts w:hint="eastAsia" w:ascii="仿宋_GB2312" w:hAnsi="宋体" w:eastAsia="仿宋_GB2312" w:cs="宋体"/>
                <w:color w:val="000000"/>
                <w:kern w:val="0"/>
                <w:sz w:val="20"/>
                <w:szCs w:val="20"/>
              </w:rPr>
            </w:pPr>
          </w:p>
        </w:tc>
      </w:tr>
      <w:tr>
        <w:tblPrEx>
          <w:tblCellMar>
            <w:top w:w="15" w:type="dxa"/>
            <w:left w:w="15" w:type="dxa"/>
            <w:bottom w:w="15" w:type="dxa"/>
            <w:right w:w="15" w:type="dxa"/>
          </w:tblCellMar>
        </w:tblPrEx>
        <w:trPr>
          <w:jc w:val="center"/>
        </w:trPr>
        <w:tc>
          <w:tcPr>
            <w:tcW w:w="9776" w:type="dxa"/>
            <w:gridSpan w:val="4"/>
            <w:shd w:val="clear" w:color="auto" w:fill="C6D9F1"/>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第二十条第（五）项</w:t>
            </w:r>
          </w:p>
        </w:tc>
      </w:tr>
      <w:tr>
        <w:tblPrEx>
          <w:tblCellMar>
            <w:top w:w="15" w:type="dxa"/>
            <w:left w:w="15" w:type="dxa"/>
            <w:bottom w:w="15" w:type="dxa"/>
            <w:right w:w="15" w:type="dxa"/>
          </w:tblCellMar>
        </w:tblPrEx>
        <w:trPr>
          <w:jc w:val="center"/>
        </w:trPr>
        <w:tc>
          <w:tcPr>
            <w:tcW w:w="111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信息内容</w:t>
            </w:r>
          </w:p>
        </w:tc>
        <w:tc>
          <w:tcPr>
            <w:tcW w:w="7324" w:type="dxa"/>
            <w:vAlign w:val="center"/>
          </w:tcPr>
          <w:p>
            <w:pPr>
              <w:widowControl/>
              <w:jc w:val="center"/>
              <w:rPr>
                <w:rFonts w:hint="eastAsia" w:ascii="仿宋_GB2312" w:hAnsi="宋体" w:eastAsia="仿宋_GB2312" w:cs="宋体"/>
                <w:color w:val="000000"/>
                <w:kern w:val="0"/>
                <w:sz w:val="20"/>
                <w:szCs w:val="20"/>
              </w:rPr>
            </w:pPr>
            <w:r>
              <w:rPr>
                <w:rFonts w:hint="eastAsia" w:ascii="仿宋_GB2312" w:hAnsi="宋体" w:eastAsia="仿宋_GB2312" w:cs="宋体"/>
                <w:color w:val="000000"/>
                <w:kern w:val="0"/>
                <w:sz w:val="20"/>
                <w:szCs w:val="20"/>
              </w:rPr>
              <w:t>上一年项目数量</w:t>
            </w:r>
          </w:p>
          <w:p>
            <w:pPr>
              <w:widowControl/>
              <w:jc w:val="center"/>
              <w:rPr>
                <w:rFonts w:hint="eastAsia" w:ascii="仿宋_GB2312" w:hAnsi="宋体" w:eastAsia="仿宋_GB2312" w:cs="宋体"/>
                <w:kern w:val="0"/>
                <w:sz w:val="24"/>
                <w:szCs w:val="24"/>
              </w:rPr>
            </w:pPr>
          </w:p>
        </w:tc>
        <w:tc>
          <w:tcPr>
            <w:tcW w:w="597" w:type="dxa"/>
            <w:vAlign w:val="center"/>
          </w:tcPr>
          <w:p>
            <w:pPr>
              <w:widowControl/>
              <w:rPr>
                <w:rFonts w:hint="eastAsia" w:ascii="仿宋_GB2312" w:hAnsi="宋体" w:eastAsia="仿宋_GB2312" w:cs="宋体"/>
                <w:color w:val="000000"/>
                <w:kern w:val="0"/>
                <w:sz w:val="20"/>
                <w:szCs w:val="20"/>
              </w:rPr>
            </w:pPr>
          </w:p>
          <w:p>
            <w:pPr>
              <w:widowControl/>
              <w:rPr>
                <w:rFonts w:hint="eastAsia" w:ascii="仿宋_GB2312" w:hAnsi="宋体" w:eastAsia="仿宋_GB2312" w:cs="宋体"/>
                <w:color w:val="000000"/>
                <w:kern w:val="0"/>
                <w:sz w:val="20"/>
                <w:szCs w:val="20"/>
              </w:rPr>
            </w:pPr>
          </w:p>
          <w:p>
            <w:pPr>
              <w:widowControl/>
              <w:rPr>
                <w:rFonts w:hint="eastAsia" w:ascii="仿宋_GB2312" w:hAnsi="宋体" w:eastAsia="仿宋_GB2312" w:cs="宋体"/>
                <w:color w:val="000000"/>
                <w:kern w:val="0"/>
                <w:sz w:val="20"/>
                <w:szCs w:val="20"/>
              </w:rPr>
            </w:pPr>
          </w:p>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本年增/减</w:t>
            </w:r>
          </w:p>
        </w:tc>
        <w:tc>
          <w:tcPr>
            <w:tcW w:w="73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处理决定数量</w:t>
            </w:r>
          </w:p>
        </w:tc>
      </w:tr>
      <w:tr>
        <w:tblPrEx>
          <w:tblCellMar>
            <w:top w:w="15" w:type="dxa"/>
            <w:left w:w="15" w:type="dxa"/>
            <w:bottom w:w="15" w:type="dxa"/>
            <w:right w:w="15" w:type="dxa"/>
          </w:tblCellMar>
        </w:tblPrEx>
        <w:trPr>
          <w:jc w:val="center"/>
        </w:trPr>
        <w:tc>
          <w:tcPr>
            <w:tcW w:w="1119"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行政许可</w:t>
            </w:r>
          </w:p>
        </w:tc>
        <w:tc>
          <w:tcPr>
            <w:tcW w:w="7324"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c>
          <w:tcPr>
            <w:tcW w:w="597"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c>
          <w:tcPr>
            <w:tcW w:w="736"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r>
      <w:tr>
        <w:tblPrEx>
          <w:tblCellMar>
            <w:top w:w="15" w:type="dxa"/>
            <w:left w:w="15" w:type="dxa"/>
            <w:bottom w:w="15" w:type="dxa"/>
            <w:right w:w="15" w:type="dxa"/>
          </w:tblCellMar>
        </w:tblPrEx>
        <w:trPr>
          <w:jc w:val="center"/>
        </w:trPr>
        <w:tc>
          <w:tcPr>
            <w:tcW w:w="1119"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其他对外管理服务事项</w:t>
            </w:r>
          </w:p>
        </w:tc>
        <w:tc>
          <w:tcPr>
            <w:tcW w:w="7324"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c>
          <w:tcPr>
            <w:tcW w:w="597"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c>
          <w:tcPr>
            <w:tcW w:w="736"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r>
      <w:tr>
        <w:tblPrEx>
          <w:tblCellMar>
            <w:top w:w="15" w:type="dxa"/>
            <w:left w:w="15" w:type="dxa"/>
            <w:bottom w:w="15" w:type="dxa"/>
            <w:right w:w="15" w:type="dxa"/>
          </w:tblCellMar>
        </w:tblPrEx>
        <w:trPr>
          <w:jc w:val="center"/>
        </w:trPr>
        <w:tc>
          <w:tcPr>
            <w:tcW w:w="9776" w:type="dxa"/>
            <w:gridSpan w:val="4"/>
            <w:shd w:val="clear" w:color="auto" w:fill="C6D9F1"/>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第二十条第（六）项</w:t>
            </w:r>
          </w:p>
        </w:tc>
      </w:tr>
      <w:tr>
        <w:tblPrEx>
          <w:tblCellMar>
            <w:top w:w="15" w:type="dxa"/>
            <w:left w:w="15" w:type="dxa"/>
            <w:bottom w:w="15" w:type="dxa"/>
            <w:right w:w="15" w:type="dxa"/>
          </w:tblCellMar>
        </w:tblPrEx>
        <w:trPr>
          <w:jc w:val="center"/>
        </w:trPr>
        <w:tc>
          <w:tcPr>
            <w:tcW w:w="111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信息内容</w:t>
            </w:r>
          </w:p>
        </w:tc>
        <w:tc>
          <w:tcPr>
            <w:tcW w:w="7324"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上一年项目数量</w:t>
            </w:r>
          </w:p>
        </w:tc>
        <w:tc>
          <w:tcPr>
            <w:tcW w:w="597"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本年增/减</w:t>
            </w:r>
          </w:p>
        </w:tc>
        <w:tc>
          <w:tcPr>
            <w:tcW w:w="73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处理决定数量</w:t>
            </w:r>
          </w:p>
        </w:tc>
      </w:tr>
      <w:tr>
        <w:tblPrEx>
          <w:tblCellMar>
            <w:top w:w="15" w:type="dxa"/>
            <w:left w:w="15" w:type="dxa"/>
            <w:bottom w:w="15" w:type="dxa"/>
            <w:right w:w="15" w:type="dxa"/>
          </w:tblCellMar>
        </w:tblPrEx>
        <w:trPr>
          <w:jc w:val="center"/>
        </w:trPr>
        <w:tc>
          <w:tcPr>
            <w:tcW w:w="1119"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行政处罚</w:t>
            </w:r>
          </w:p>
        </w:tc>
        <w:tc>
          <w:tcPr>
            <w:tcW w:w="7324"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c>
          <w:tcPr>
            <w:tcW w:w="597"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c>
          <w:tcPr>
            <w:tcW w:w="736"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r>
      <w:tr>
        <w:tblPrEx>
          <w:tblCellMar>
            <w:top w:w="15" w:type="dxa"/>
            <w:left w:w="15" w:type="dxa"/>
            <w:bottom w:w="15" w:type="dxa"/>
            <w:right w:w="15" w:type="dxa"/>
          </w:tblCellMar>
        </w:tblPrEx>
        <w:trPr>
          <w:jc w:val="center"/>
        </w:trPr>
        <w:tc>
          <w:tcPr>
            <w:tcW w:w="1119"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行政强制</w:t>
            </w:r>
          </w:p>
        </w:tc>
        <w:tc>
          <w:tcPr>
            <w:tcW w:w="7324"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c>
          <w:tcPr>
            <w:tcW w:w="597"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c>
          <w:tcPr>
            <w:tcW w:w="736"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r>
      <w:tr>
        <w:tblPrEx>
          <w:tblCellMar>
            <w:top w:w="15" w:type="dxa"/>
            <w:left w:w="15" w:type="dxa"/>
            <w:bottom w:w="15" w:type="dxa"/>
            <w:right w:w="15" w:type="dxa"/>
          </w:tblCellMar>
        </w:tblPrEx>
        <w:trPr>
          <w:jc w:val="center"/>
        </w:trPr>
        <w:tc>
          <w:tcPr>
            <w:tcW w:w="9776" w:type="dxa"/>
            <w:gridSpan w:val="4"/>
            <w:shd w:val="clear" w:color="auto" w:fill="C6D9F1"/>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第二十条第（八）项</w:t>
            </w:r>
          </w:p>
        </w:tc>
      </w:tr>
      <w:tr>
        <w:tblPrEx>
          <w:tblCellMar>
            <w:top w:w="15" w:type="dxa"/>
            <w:left w:w="15" w:type="dxa"/>
            <w:bottom w:w="15" w:type="dxa"/>
            <w:right w:w="15" w:type="dxa"/>
          </w:tblCellMar>
        </w:tblPrEx>
        <w:trPr>
          <w:jc w:val="center"/>
        </w:trPr>
        <w:tc>
          <w:tcPr>
            <w:tcW w:w="111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信息内容</w:t>
            </w:r>
          </w:p>
        </w:tc>
        <w:tc>
          <w:tcPr>
            <w:tcW w:w="7324"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上一年项目数量</w:t>
            </w:r>
          </w:p>
        </w:tc>
        <w:tc>
          <w:tcPr>
            <w:tcW w:w="1333" w:type="dxa"/>
            <w:gridSpan w:val="2"/>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本年增/减</w:t>
            </w:r>
          </w:p>
        </w:tc>
      </w:tr>
      <w:tr>
        <w:tblPrEx>
          <w:tblCellMar>
            <w:top w:w="15" w:type="dxa"/>
            <w:left w:w="15" w:type="dxa"/>
            <w:bottom w:w="15" w:type="dxa"/>
            <w:right w:w="15" w:type="dxa"/>
          </w:tblCellMar>
        </w:tblPrEx>
        <w:trPr>
          <w:jc w:val="center"/>
        </w:trPr>
        <w:tc>
          <w:tcPr>
            <w:tcW w:w="1119"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行政事业性收费</w:t>
            </w:r>
          </w:p>
        </w:tc>
        <w:tc>
          <w:tcPr>
            <w:tcW w:w="7324"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c>
          <w:tcPr>
            <w:tcW w:w="1333" w:type="dxa"/>
            <w:gridSpan w:val="2"/>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宋体" w:hAnsi="宋体" w:eastAsia="仿宋_GB2312" w:cs="宋体"/>
                <w:color w:val="000000"/>
                <w:kern w:val="0"/>
                <w:sz w:val="20"/>
                <w:szCs w:val="20"/>
              </w:rPr>
              <w:t> </w:t>
            </w:r>
          </w:p>
        </w:tc>
      </w:tr>
      <w:tr>
        <w:tblPrEx>
          <w:tblCellMar>
            <w:top w:w="15" w:type="dxa"/>
            <w:left w:w="15" w:type="dxa"/>
            <w:bottom w:w="15" w:type="dxa"/>
            <w:right w:w="15" w:type="dxa"/>
          </w:tblCellMar>
        </w:tblPrEx>
        <w:trPr>
          <w:jc w:val="center"/>
        </w:trPr>
        <w:tc>
          <w:tcPr>
            <w:tcW w:w="9776" w:type="dxa"/>
            <w:gridSpan w:val="4"/>
            <w:shd w:val="clear" w:color="auto" w:fill="C6D9F1"/>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第二十条第（九）项</w:t>
            </w:r>
          </w:p>
        </w:tc>
      </w:tr>
      <w:tr>
        <w:tblPrEx>
          <w:tblCellMar>
            <w:top w:w="15" w:type="dxa"/>
            <w:left w:w="15" w:type="dxa"/>
            <w:bottom w:w="15" w:type="dxa"/>
            <w:right w:w="15" w:type="dxa"/>
          </w:tblCellMar>
        </w:tblPrEx>
        <w:trPr>
          <w:jc w:val="center"/>
        </w:trPr>
        <w:tc>
          <w:tcPr>
            <w:tcW w:w="1119" w:type="dxa"/>
            <w:vAlign w:val="center"/>
          </w:tcPr>
          <w:p>
            <w:pPr>
              <w:widowControl/>
              <w:jc w:val="center"/>
              <w:rPr>
                <w:rFonts w:hint="eastAsia" w:ascii="仿宋_GB2312" w:hAnsi="宋体" w:eastAsia="仿宋_GB2312" w:cs="宋体"/>
                <w:color w:val="000000"/>
                <w:kern w:val="0"/>
                <w:sz w:val="20"/>
                <w:szCs w:val="20"/>
              </w:rPr>
            </w:pPr>
          </w:p>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信息m容</w:t>
            </w:r>
          </w:p>
        </w:tc>
        <w:tc>
          <w:tcPr>
            <w:tcW w:w="7324"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采购项目数量</w:t>
            </w:r>
          </w:p>
        </w:tc>
        <w:tc>
          <w:tcPr>
            <w:tcW w:w="1333" w:type="dxa"/>
            <w:gridSpan w:val="2"/>
            <w:vAlign w:val="center"/>
          </w:tcPr>
          <w:p>
            <w:pPr>
              <w:widowControl/>
              <w:jc w:val="center"/>
              <w:rPr>
                <w:rFonts w:hint="eastAsia" w:ascii="仿宋_GB2312" w:hAnsi="宋体" w:eastAsia="仿宋_GB2312" w:cs="宋体"/>
                <w:color w:val="000000"/>
                <w:kern w:val="0"/>
                <w:sz w:val="20"/>
                <w:szCs w:val="20"/>
              </w:rPr>
            </w:pPr>
          </w:p>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采购总金额</w:t>
            </w:r>
          </w:p>
        </w:tc>
      </w:tr>
      <w:tr>
        <w:tblPrEx>
          <w:tblCellMar>
            <w:top w:w="15" w:type="dxa"/>
            <w:left w:w="15" w:type="dxa"/>
            <w:bottom w:w="15" w:type="dxa"/>
            <w:right w:w="15" w:type="dxa"/>
          </w:tblCellMar>
        </w:tblPrEx>
        <w:trPr>
          <w:jc w:val="center"/>
        </w:trPr>
        <w:tc>
          <w:tcPr>
            <w:tcW w:w="1119"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政府集中采购</w:t>
            </w:r>
          </w:p>
        </w:tc>
        <w:tc>
          <w:tcPr>
            <w:tcW w:w="7324" w:type="dxa"/>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0</w:t>
            </w:r>
            <w:r>
              <w:rPr>
                <w:rFonts w:hint="eastAsia" w:ascii="仿宋_GB2312" w:hAnsi="MS Mincho" w:eastAsia="MS Mincho" w:cs="MS Mincho"/>
                <w:color w:val="000000"/>
                <w:kern w:val="0"/>
                <w:sz w:val="20"/>
                <w:szCs w:val="20"/>
              </w:rPr>
              <w:t> </w:t>
            </w:r>
          </w:p>
        </w:tc>
        <w:tc>
          <w:tcPr>
            <w:tcW w:w="1333" w:type="dxa"/>
            <w:gridSpan w:val="2"/>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333333"/>
                <w:kern w:val="0"/>
                <w:szCs w:val="21"/>
              </w:rPr>
              <w:t>0</w:t>
            </w:r>
          </w:p>
        </w:tc>
      </w:tr>
    </w:tbl>
    <w:p>
      <w:pPr>
        <w:widowControl/>
        <w:jc w:val="left"/>
        <w:rPr>
          <w:rFonts w:hint="eastAsia" w:ascii="仿宋_GB2312" w:hAnsi="微软雅黑" w:eastAsia="仿宋_GB2312" w:cs="宋体"/>
          <w:color w:val="000000"/>
          <w:kern w:val="0"/>
          <w:sz w:val="17"/>
          <w:szCs w:val="17"/>
        </w:rPr>
      </w:pPr>
      <w:r>
        <w:rPr>
          <w:rFonts w:hint="eastAsia" w:ascii="黑体" w:hAnsi="黑体" w:eastAsia="黑体" w:cs="宋体"/>
          <w:color w:val="000000"/>
          <w:kern w:val="0"/>
          <w:sz w:val="32"/>
          <w:szCs w:val="32"/>
        </w:rPr>
        <w:t xml:space="preserve">    三、收到和处理政府信息公开申请情况</w:t>
      </w:r>
      <w:r>
        <w:rPr>
          <w:rFonts w:hint="eastAsia" w:ascii="黑体" w:hAnsi="黑体" w:eastAsia="MS Gothic" w:cs="MS Gothic"/>
          <w:color w:val="000000"/>
          <w:kern w:val="0"/>
          <w:sz w:val="32"/>
          <w:szCs w:val="32"/>
        </w:rPr>
        <w:t> </w:t>
      </w:r>
      <w:r>
        <w:rPr>
          <w:rFonts w:hint="eastAsia" w:ascii="仿宋_GB2312" w:hAnsi="MS Gothic" w:eastAsia="MS Gothic" w:cs="MS Gothic"/>
          <w:color w:val="000000"/>
          <w:kern w:val="0"/>
          <w:sz w:val="17"/>
          <w:szCs w:val="17"/>
        </w:rPr>
        <w:t> </w:t>
      </w:r>
    </w:p>
    <w:tbl>
      <w:tblPr>
        <w:tblStyle w:val="3"/>
        <w:tblW w:w="0" w:type="auto"/>
        <w:jc w:val="center"/>
        <w:tblLayout w:type="autofit"/>
        <w:tblCellMar>
          <w:top w:w="15" w:type="dxa"/>
          <w:left w:w="15" w:type="dxa"/>
          <w:bottom w:w="15" w:type="dxa"/>
          <w:right w:w="15" w:type="dxa"/>
        </w:tblCellMar>
      </w:tblPr>
      <w:tblGrid>
        <w:gridCol w:w="430"/>
        <w:gridCol w:w="760"/>
        <w:gridCol w:w="1843"/>
        <w:gridCol w:w="469"/>
        <w:gridCol w:w="612"/>
        <w:gridCol w:w="612"/>
        <w:gridCol w:w="660"/>
        <w:gridCol w:w="792"/>
        <w:gridCol w:w="576"/>
        <w:gridCol w:w="552"/>
      </w:tblGrid>
      <w:tr>
        <w:tblPrEx>
          <w:tblCellMar>
            <w:top w:w="15" w:type="dxa"/>
            <w:left w:w="15" w:type="dxa"/>
            <w:bottom w:w="15" w:type="dxa"/>
            <w:right w:w="15" w:type="dxa"/>
          </w:tblCellMar>
        </w:tblPrEx>
        <w:trPr>
          <w:jc w:val="center"/>
        </w:trPr>
        <w:tc>
          <w:tcPr>
            <w:tcW w:w="3033" w:type="dxa"/>
            <w:gridSpan w:val="3"/>
            <w:vMerge w:val="restart"/>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（本列数据的勾稽关系为：第一项加第二项之和，等于第三项加第四项之和）</w:t>
            </w:r>
          </w:p>
        </w:tc>
        <w:tc>
          <w:tcPr>
            <w:tcW w:w="4273" w:type="dxa"/>
            <w:gridSpan w:val="7"/>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申请人情况</w:t>
            </w:r>
          </w:p>
        </w:tc>
      </w:tr>
      <w:tr>
        <w:tblPrEx>
          <w:tblCellMar>
            <w:top w:w="15" w:type="dxa"/>
            <w:left w:w="15" w:type="dxa"/>
            <w:bottom w:w="15" w:type="dxa"/>
            <w:right w:w="15" w:type="dxa"/>
          </w:tblCellMar>
        </w:tblPrEx>
        <w:trPr>
          <w:jc w:val="center"/>
        </w:trPr>
        <w:tc>
          <w:tcPr>
            <w:tcW w:w="3033" w:type="dxa"/>
            <w:gridSpan w:val="3"/>
            <w:vMerge w:val="continue"/>
            <w:vAlign w:val="center"/>
          </w:tcPr>
          <w:p>
            <w:pPr>
              <w:widowControl/>
              <w:jc w:val="left"/>
              <w:rPr>
                <w:rFonts w:hint="eastAsia" w:ascii="仿宋_GB2312" w:hAnsi="宋体" w:eastAsia="仿宋_GB2312" w:cs="宋体"/>
                <w:kern w:val="0"/>
                <w:sz w:val="24"/>
                <w:szCs w:val="24"/>
              </w:rPr>
            </w:pPr>
          </w:p>
        </w:tc>
        <w:tc>
          <w:tcPr>
            <w:tcW w:w="469" w:type="dxa"/>
            <w:vMerge w:val="restart"/>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自然人</w:t>
            </w:r>
          </w:p>
        </w:tc>
        <w:tc>
          <w:tcPr>
            <w:tcW w:w="3252" w:type="dxa"/>
            <w:gridSpan w:val="5"/>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法人或其他组织</w:t>
            </w:r>
          </w:p>
        </w:tc>
        <w:tc>
          <w:tcPr>
            <w:tcW w:w="552" w:type="dxa"/>
            <w:vMerge w:val="restart"/>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总计</w:t>
            </w:r>
          </w:p>
        </w:tc>
      </w:tr>
      <w:tr>
        <w:tblPrEx>
          <w:tblCellMar>
            <w:top w:w="15" w:type="dxa"/>
            <w:left w:w="15" w:type="dxa"/>
            <w:bottom w:w="15" w:type="dxa"/>
            <w:right w:w="15" w:type="dxa"/>
          </w:tblCellMar>
        </w:tblPrEx>
        <w:trPr>
          <w:jc w:val="center"/>
        </w:trPr>
        <w:tc>
          <w:tcPr>
            <w:tcW w:w="3033" w:type="dxa"/>
            <w:gridSpan w:val="3"/>
            <w:vMerge w:val="continue"/>
            <w:vAlign w:val="center"/>
          </w:tcPr>
          <w:p>
            <w:pPr>
              <w:widowControl/>
              <w:jc w:val="left"/>
              <w:rPr>
                <w:rFonts w:hint="eastAsia" w:ascii="仿宋_GB2312" w:hAnsi="宋体" w:eastAsia="仿宋_GB2312" w:cs="宋体"/>
                <w:kern w:val="0"/>
                <w:sz w:val="24"/>
                <w:szCs w:val="24"/>
              </w:rPr>
            </w:pPr>
          </w:p>
        </w:tc>
        <w:tc>
          <w:tcPr>
            <w:tcW w:w="469" w:type="dxa"/>
            <w:vMerge w:val="continue"/>
            <w:vAlign w:val="center"/>
          </w:tcPr>
          <w:p>
            <w:pPr>
              <w:widowControl/>
              <w:jc w:val="left"/>
              <w:rPr>
                <w:rFonts w:hint="eastAsia" w:ascii="仿宋_GB2312" w:hAnsi="宋体" w:eastAsia="仿宋_GB2312" w:cs="宋体"/>
                <w:kern w:val="0"/>
                <w:sz w:val="24"/>
                <w:szCs w:val="24"/>
              </w:rPr>
            </w:pP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商业企业</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科研机构</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社会公益组织</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法律服务机构</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其他</w:t>
            </w:r>
          </w:p>
        </w:tc>
        <w:tc>
          <w:tcPr>
            <w:tcW w:w="0" w:type="auto"/>
            <w:vMerge w:val="continue"/>
            <w:vAlign w:val="center"/>
          </w:tcPr>
          <w:p>
            <w:pPr>
              <w:widowControl/>
              <w:jc w:val="left"/>
              <w:rPr>
                <w:rFonts w:hint="eastAsia" w:ascii="仿宋_GB2312" w:hAnsi="宋体" w:eastAsia="仿宋_GB2312" w:cs="宋体"/>
                <w:kern w:val="0"/>
                <w:sz w:val="24"/>
                <w:szCs w:val="24"/>
              </w:rPr>
            </w:pPr>
          </w:p>
        </w:tc>
      </w:tr>
      <w:tr>
        <w:tblPrEx>
          <w:tblCellMar>
            <w:top w:w="15" w:type="dxa"/>
            <w:left w:w="15" w:type="dxa"/>
            <w:bottom w:w="15" w:type="dxa"/>
            <w:right w:w="15" w:type="dxa"/>
          </w:tblCellMar>
        </w:tblPrEx>
        <w:trPr>
          <w:jc w:val="center"/>
        </w:trPr>
        <w:tc>
          <w:tcPr>
            <w:tcW w:w="3033" w:type="dxa"/>
            <w:gridSpan w:val="3"/>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一、本年新收政府信息公开申请数量</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r>
      <w:tr>
        <w:tblPrEx>
          <w:tblCellMar>
            <w:top w:w="15" w:type="dxa"/>
            <w:left w:w="15" w:type="dxa"/>
            <w:bottom w:w="15" w:type="dxa"/>
            <w:right w:w="15" w:type="dxa"/>
          </w:tblCellMar>
        </w:tblPrEx>
        <w:trPr>
          <w:jc w:val="center"/>
        </w:trPr>
        <w:tc>
          <w:tcPr>
            <w:tcW w:w="3033" w:type="dxa"/>
            <w:gridSpan w:val="3"/>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二、上年结转政府信息公开申请数量</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r>
      <w:tr>
        <w:tblPrEx>
          <w:tblCellMar>
            <w:top w:w="15" w:type="dxa"/>
            <w:left w:w="15" w:type="dxa"/>
            <w:bottom w:w="15" w:type="dxa"/>
            <w:right w:w="15" w:type="dxa"/>
          </w:tblCellMar>
        </w:tblPrEx>
        <w:trPr>
          <w:jc w:val="center"/>
        </w:trPr>
        <w:tc>
          <w:tcPr>
            <w:tcW w:w="430" w:type="dxa"/>
            <w:vMerge w:val="restart"/>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三、本年度办理结果</w:t>
            </w:r>
          </w:p>
        </w:tc>
        <w:tc>
          <w:tcPr>
            <w:tcW w:w="2603" w:type="dxa"/>
            <w:gridSpan w:val="2"/>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（一）予以公开</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2603" w:type="dxa"/>
            <w:gridSpan w:val="2"/>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（二）部分公开（区分处理的，只计这一情形，不计其他情形）</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restart"/>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（三）不予公开</w:t>
            </w: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1.属于国家秘密</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2.其他法律行政法规禁止公开</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3.危及“三安全一稳定”</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4.保护第三方合法权益</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5.属于三类内部事务信息</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6.属于四类过程性信息</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7.属于行政执法案卷</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8.属于行政查询事项</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restart"/>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（四）无法提供</w:t>
            </w: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1.本机关不掌握相关政府信息</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2.没有现成信息需要另行制作</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3.补正后申请内容仍不明确</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restart"/>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（五）不予处理</w:t>
            </w: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1.信访举报投诉类申请</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2.重复申请</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3.要求提供公开出版物</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4.无正当理由大量反复申请</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760" w:type="dxa"/>
            <w:vMerge w:val="continue"/>
            <w:vAlign w:val="center"/>
          </w:tcPr>
          <w:p>
            <w:pPr>
              <w:widowControl/>
              <w:jc w:val="left"/>
              <w:rPr>
                <w:rFonts w:hint="eastAsia" w:ascii="仿宋_GB2312" w:hAnsi="宋体" w:eastAsia="仿宋_GB2312" w:cs="宋体"/>
                <w:kern w:val="0"/>
                <w:sz w:val="24"/>
                <w:szCs w:val="24"/>
              </w:rPr>
            </w:pPr>
          </w:p>
        </w:tc>
        <w:tc>
          <w:tcPr>
            <w:tcW w:w="1843" w:type="dxa"/>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5.要求行政机关确认或重新出具已获取信息</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2603" w:type="dxa"/>
            <w:gridSpan w:val="2"/>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（六）其他处理</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2603" w:type="dxa"/>
            <w:gridSpan w:val="2"/>
            <w:vAlign w:val="center"/>
          </w:tcPr>
          <w:p>
            <w:pPr>
              <w:widowControl/>
              <w:jc w:val="left"/>
              <w:rPr>
                <w:rFonts w:hint="eastAsia" w:ascii="仿宋_GB2312" w:hAnsi="宋体" w:eastAsia="仿宋_GB2312" w:cs="宋体"/>
                <w:kern w:val="0"/>
                <w:sz w:val="24"/>
                <w:szCs w:val="24"/>
              </w:rPr>
            </w:pPr>
            <w:r>
              <w:rPr>
                <w:rFonts w:hint="eastAsia" w:ascii="仿宋_GB2312" w:hAnsi="楷体" w:eastAsia="仿宋_GB2312" w:cs="宋体"/>
                <w:color w:val="333333"/>
                <w:kern w:val="0"/>
                <w:sz w:val="20"/>
                <w:szCs w:val="20"/>
              </w:rPr>
              <w:t>（七）总计</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r>
      <w:tr>
        <w:tblPrEx>
          <w:tblCellMar>
            <w:top w:w="15" w:type="dxa"/>
            <w:left w:w="15" w:type="dxa"/>
            <w:bottom w:w="15" w:type="dxa"/>
            <w:right w:w="15" w:type="dxa"/>
          </w:tblCellMar>
        </w:tblPrEx>
        <w:trPr>
          <w:jc w:val="center"/>
        </w:trPr>
        <w:tc>
          <w:tcPr>
            <w:tcW w:w="3033" w:type="dxa"/>
            <w:gridSpan w:val="3"/>
            <w:vAlign w:val="center"/>
          </w:tcPr>
          <w:p>
            <w:pPr>
              <w:widowControl/>
              <w:jc w:val="left"/>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四、结转下年度继续办理</w:t>
            </w:r>
          </w:p>
        </w:tc>
        <w:tc>
          <w:tcPr>
            <w:tcW w:w="469"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61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66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79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76"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552"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r>
    </w:tbl>
    <w:p>
      <w:pPr>
        <w:widowControl/>
        <w:jc w:val="left"/>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 xml:space="preserve">    四、政府信息公开行政复议、行政诉讼情况</w:t>
      </w:r>
      <w:r>
        <w:rPr>
          <w:rFonts w:hint="eastAsia" w:ascii="黑体" w:hAnsi="黑体" w:eastAsia="MS Gothic" w:cs="MS Gothic"/>
          <w:color w:val="000000"/>
          <w:kern w:val="0"/>
          <w:sz w:val="32"/>
          <w:szCs w:val="32"/>
        </w:rPr>
        <w:t>  </w:t>
      </w:r>
    </w:p>
    <w:tbl>
      <w:tblPr>
        <w:tblStyle w:val="3"/>
        <w:tblW w:w="0" w:type="auto"/>
        <w:jc w:val="center"/>
        <w:tblLayout w:type="autofit"/>
        <w:tblCellMar>
          <w:top w:w="15" w:type="dxa"/>
          <w:left w:w="15" w:type="dxa"/>
          <w:bottom w:w="15" w:type="dxa"/>
          <w:right w:w="15" w:type="dxa"/>
        </w:tblCellMar>
      </w:tblPr>
      <w:tblGrid>
        <w:gridCol w:w="480"/>
        <w:gridCol w:w="480"/>
        <w:gridCol w:w="480"/>
        <w:gridCol w:w="480"/>
        <w:gridCol w:w="528"/>
        <w:gridCol w:w="432"/>
        <w:gridCol w:w="480"/>
        <w:gridCol w:w="480"/>
        <w:gridCol w:w="480"/>
        <w:gridCol w:w="504"/>
        <w:gridCol w:w="480"/>
        <w:gridCol w:w="480"/>
        <w:gridCol w:w="480"/>
        <w:gridCol w:w="480"/>
        <w:gridCol w:w="492"/>
      </w:tblGrid>
      <w:tr>
        <w:tblPrEx>
          <w:tblCellMar>
            <w:top w:w="15" w:type="dxa"/>
            <w:left w:w="15" w:type="dxa"/>
            <w:bottom w:w="15" w:type="dxa"/>
            <w:right w:w="15" w:type="dxa"/>
          </w:tblCellMar>
        </w:tblPrEx>
        <w:trPr>
          <w:jc w:val="center"/>
        </w:trPr>
        <w:tc>
          <w:tcPr>
            <w:tcW w:w="2448" w:type="dxa"/>
            <w:gridSpan w:val="5"/>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行政复议</w:t>
            </w:r>
          </w:p>
        </w:tc>
        <w:tc>
          <w:tcPr>
            <w:tcW w:w="4788" w:type="dxa"/>
            <w:gridSpan w:val="10"/>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行政诉讼</w:t>
            </w:r>
          </w:p>
        </w:tc>
      </w:tr>
      <w:tr>
        <w:tblPrEx>
          <w:tblCellMar>
            <w:top w:w="15" w:type="dxa"/>
            <w:left w:w="15" w:type="dxa"/>
            <w:bottom w:w="15" w:type="dxa"/>
            <w:right w:w="15" w:type="dxa"/>
          </w:tblCellMar>
        </w:tblPrEx>
        <w:trPr>
          <w:jc w:val="center"/>
        </w:trPr>
        <w:tc>
          <w:tcPr>
            <w:tcW w:w="480" w:type="dxa"/>
            <w:vMerge w:val="restart"/>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结果维持</w:t>
            </w:r>
          </w:p>
        </w:tc>
        <w:tc>
          <w:tcPr>
            <w:tcW w:w="480" w:type="dxa"/>
            <w:vMerge w:val="restart"/>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结果纠正</w:t>
            </w:r>
          </w:p>
        </w:tc>
        <w:tc>
          <w:tcPr>
            <w:tcW w:w="480" w:type="dxa"/>
            <w:vMerge w:val="restart"/>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其他结果</w:t>
            </w:r>
          </w:p>
        </w:tc>
        <w:tc>
          <w:tcPr>
            <w:tcW w:w="480" w:type="dxa"/>
            <w:vMerge w:val="restart"/>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尚未审结</w:t>
            </w:r>
          </w:p>
        </w:tc>
        <w:tc>
          <w:tcPr>
            <w:tcW w:w="516" w:type="dxa"/>
            <w:vMerge w:val="restart"/>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总计</w:t>
            </w:r>
          </w:p>
        </w:tc>
        <w:tc>
          <w:tcPr>
            <w:tcW w:w="2376" w:type="dxa"/>
            <w:gridSpan w:val="5"/>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未经复议直接起诉</w:t>
            </w:r>
          </w:p>
        </w:tc>
        <w:tc>
          <w:tcPr>
            <w:tcW w:w="2412" w:type="dxa"/>
            <w:gridSpan w:val="5"/>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复议后起诉</w:t>
            </w:r>
          </w:p>
        </w:tc>
      </w:tr>
      <w:tr>
        <w:tblPrEx>
          <w:tblCellMar>
            <w:top w:w="15" w:type="dxa"/>
            <w:left w:w="15" w:type="dxa"/>
            <w:bottom w:w="15" w:type="dxa"/>
            <w:right w:w="15" w:type="dxa"/>
          </w:tblCellMar>
        </w:tblPrEx>
        <w:trPr>
          <w:jc w:val="center"/>
        </w:trPr>
        <w:tc>
          <w:tcPr>
            <w:tcW w:w="0" w:type="auto"/>
            <w:vMerge w:val="continue"/>
            <w:vAlign w:val="center"/>
          </w:tcPr>
          <w:p>
            <w:pPr>
              <w:widowControl/>
              <w:jc w:val="left"/>
              <w:rPr>
                <w:rFonts w:hint="eastAsia" w:ascii="仿宋_GB2312" w:hAnsi="宋体" w:eastAsia="仿宋_GB2312" w:cs="宋体"/>
                <w:kern w:val="0"/>
                <w:sz w:val="24"/>
                <w:szCs w:val="24"/>
              </w:rPr>
            </w:pPr>
          </w:p>
        </w:tc>
        <w:tc>
          <w:tcPr>
            <w:tcW w:w="0" w:type="auto"/>
            <w:vMerge w:val="continue"/>
            <w:vAlign w:val="center"/>
          </w:tcPr>
          <w:p>
            <w:pPr>
              <w:widowControl/>
              <w:jc w:val="left"/>
              <w:rPr>
                <w:rFonts w:hint="eastAsia" w:ascii="仿宋_GB2312" w:hAnsi="宋体" w:eastAsia="仿宋_GB2312" w:cs="宋体"/>
                <w:kern w:val="0"/>
                <w:sz w:val="24"/>
                <w:szCs w:val="24"/>
              </w:rPr>
            </w:pPr>
          </w:p>
        </w:tc>
        <w:tc>
          <w:tcPr>
            <w:tcW w:w="0" w:type="auto"/>
            <w:vMerge w:val="continue"/>
            <w:vAlign w:val="center"/>
          </w:tcPr>
          <w:p>
            <w:pPr>
              <w:widowControl/>
              <w:jc w:val="left"/>
              <w:rPr>
                <w:rFonts w:hint="eastAsia" w:ascii="仿宋_GB2312" w:hAnsi="宋体" w:eastAsia="仿宋_GB2312" w:cs="宋体"/>
                <w:kern w:val="0"/>
                <w:sz w:val="24"/>
                <w:szCs w:val="24"/>
              </w:rPr>
            </w:pPr>
          </w:p>
        </w:tc>
        <w:tc>
          <w:tcPr>
            <w:tcW w:w="0" w:type="auto"/>
            <w:vMerge w:val="continue"/>
            <w:vAlign w:val="center"/>
          </w:tcPr>
          <w:p>
            <w:pPr>
              <w:widowControl/>
              <w:jc w:val="left"/>
              <w:rPr>
                <w:rFonts w:hint="eastAsia" w:ascii="仿宋_GB2312" w:hAnsi="宋体" w:eastAsia="仿宋_GB2312" w:cs="宋体"/>
                <w:kern w:val="0"/>
                <w:sz w:val="24"/>
                <w:szCs w:val="24"/>
              </w:rPr>
            </w:pPr>
          </w:p>
        </w:tc>
        <w:tc>
          <w:tcPr>
            <w:tcW w:w="0" w:type="auto"/>
            <w:vMerge w:val="continue"/>
            <w:vAlign w:val="center"/>
          </w:tcPr>
          <w:p>
            <w:pPr>
              <w:widowControl/>
              <w:jc w:val="left"/>
              <w:rPr>
                <w:rFonts w:hint="eastAsia" w:ascii="仿宋_GB2312" w:hAnsi="宋体" w:eastAsia="仿宋_GB2312" w:cs="宋体"/>
                <w:kern w:val="0"/>
                <w:sz w:val="24"/>
                <w:szCs w:val="24"/>
              </w:rPr>
            </w:pPr>
          </w:p>
        </w:tc>
        <w:tc>
          <w:tcPr>
            <w:tcW w:w="432"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结果维持</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结果纠正</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其他结果</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尚未审结</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总计</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结果维持</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结果纠正</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其他结果</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尚未审结</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000000"/>
                <w:kern w:val="0"/>
                <w:sz w:val="20"/>
                <w:szCs w:val="20"/>
              </w:rPr>
              <w:t>总计</w:t>
            </w:r>
          </w:p>
        </w:tc>
      </w:tr>
      <w:tr>
        <w:tblPrEx>
          <w:tblCellMar>
            <w:top w:w="15" w:type="dxa"/>
            <w:left w:w="15" w:type="dxa"/>
            <w:bottom w:w="15" w:type="dxa"/>
            <w:right w:w="15" w:type="dxa"/>
          </w:tblCellMar>
        </w:tblPrEx>
        <w:trPr>
          <w:jc w:val="center"/>
        </w:trPr>
        <w:tc>
          <w:tcPr>
            <w:tcW w:w="480" w:type="dxa"/>
            <w:vAlign w:val="center"/>
          </w:tcPr>
          <w:p>
            <w:pPr>
              <w:widowControl/>
              <w:jc w:val="center"/>
              <w:rPr>
                <w:rFonts w:hint="eastAsia" w:ascii="仿宋_GB2312" w:hAnsi="宋体" w:eastAsia="仿宋_GB2312" w:cs="宋体"/>
                <w:kern w:val="0"/>
                <w:sz w:val="24"/>
                <w:szCs w:val="24"/>
                <w:lang w:eastAsia="zh-CN"/>
              </w:rPr>
            </w:pPr>
            <w:r>
              <w:rPr>
                <w:rFonts w:hint="eastAsia" w:ascii="仿宋_GB2312" w:hAnsi="宋体" w:eastAsia="仿宋_GB2312" w:cs="宋体"/>
                <w:color w:val="333333"/>
                <w:kern w:val="0"/>
                <w:sz w:val="20"/>
                <w:szCs w:val="20"/>
                <w:lang w:val="en-US" w:eastAsia="zh-CN"/>
              </w:rPr>
              <w:t>3</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516" w:type="dxa"/>
            <w:vAlign w:val="center"/>
          </w:tcPr>
          <w:p>
            <w:pPr>
              <w:widowControl/>
              <w:jc w:val="center"/>
              <w:rPr>
                <w:rFonts w:hint="eastAsia" w:ascii="仿宋_GB2312" w:hAnsi="宋体" w:eastAsia="仿宋_GB2312" w:cs="宋体"/>
                <w:kern w:val="0"/>
                <w:sz w:val="24"/>
                <w:szCs w:val="24"/>
                <w:lang w:eastAsia="zh-CN"/>
              </w:rPr>
            </w:pPr>
            <w:r>
              <w:rPr>
                <w:rFonts w:hint="eastAsia" w:ascii="Calibri" w:hAnsi="Calibri" w:eastAsia="仿宋_GB2312" w:cs="宋体"/>
                <w:color w:val="333333"/>
                <w:kern w:val="0"/>
                <w:sz w:val="20"/>
                <w:szCs w:val="20"/>
                <w:lang w:val="en-US" w:eastAsia="zh-CN"/>
              </w:rPr>
              <w:t>3</w:t>
            </w:r>
          </w:p>
        </w:tc>
        <w:tc>
          <w:tcPr>
            <w:tcW w:w="432" w:type="dxa"/>
            <w:vAlign w:val="center"/>
          </w:tcPr>
          <w:p>
            <w:pPr>
              <w:widowControl/>
              <w:jc w:val="center"/>
              <w:rPr>
                <w:rFonts w:hint="eastAsia" w:ascii="仿宋_GB2312" w:hAnsi="宋体" w:eastAsia="仿宋_GB2312" w:cs="宋体"/>
                <w:kern w:val="0"/>
                <w:sz w:val="24"/>
                <w:szCs w:val="24"/>
                <w:lang w:eastAsia="zh-CN"/>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lang w:val="en-US" w:eastAsia="zh-CN"/>
              </w:rPr>
              <w:t>2</w:t>
            </w:r>
          </w:p>
        </w:tc>
        <w:tc>
          <w:tcPr>
            <w:tcW w:w="480" w:type="dxa"/>
            <w:vAlign w:val="center"/>
          </w:tcPr>
          <w:p>
            <w:pPr>
              <w:widowControl/>
              <w:jc w:val="center"/>
              <w:rPr>
                <w:rFonts w:hint="eastAsia" w:ascii="仿宋_GB2312" w:hAnsi="宋体" w:eastAsia="仿宋_GB2312" w:cs="宋体"/>
                <w:kern w:val="0"/>
                <w:sz w:val="24"/>
                <w:szCs w:val="24"/>
                <w:lang w:eastAsia="zh-CN"/>
              </w:rPr>
            </w:pPr>
            <w:r>
              <w:rPr>
                <w:rFonts w:hint="eastAsia" w:ascii="Calibri" w:hAnsi="Calibri" w:eastAsia="仿宋_GB2312" w:cs="宋体"/>
                <w:color w:val="333333"/>
                <w:kern w:val="0"/>
                <w:sz w:val="20"/>
                <w:szCs w:val="20"/>
                <w:lang w:val="en-US" w:eastAsia="zh-CN"/>
              </w:rPr>
              <w:t>1</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 w:val="20"/>
                <w:szCs w:val="20"/>
              </w:rPr>
              <w:t>0</w:t>
            </w:r>
            <w:r>
              <w:rPr>
                <w:rFonts w:hint="eastAsia" w:ascii="Calibri" w:hAnsi="Calibri" w:eastAsia="仿宋_GB2312" w:cs="宋体"/>
                <w:color w:val="333333"/>
                <w:kern w:val="0"/>
                <w:sz w:val="20"/>
                <w:szCs w:val="20"/>
              </w:rPr>
              <w:t> </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Calibri" w:hAnsi="Calibri" w:eastAsia="仿宋_GB2312" w:cs="宋体"/>
                <w:color w:val="333333"/>
                <w:kern w:val="0"/>
                <w:sz w:val="20"/>
                <w:szCs w:val="20"/>
              </w:rPr>
              <w:t> </w:t>
            </w:r>
            <w:r>
              <w:rPr>
                <w:rFonts w:hint="eastAsia" w:ascii="仿宋_GB2312" w:hAnsi="宋体" w:eastAsia="仿宋_GB2312" w:cs="宋体"/>
                <w:color w:val="333333"/>
                <w:kern w:val="0"/>
                <w:sz w:val="20"/>
                <w:szCs w:val="20"/>
              </w:rPr>
              <w:t>0</w:t>
            </w:r>
          </w:p>
        </w:tc>
        <w:tc>
          <w:tcPr>
            <w:tcW w:w="480" w:type="dxa"/>
            <w:vAlign w:val="center"/>
          </w:tcPr>
          <w:p>
            <w:pPr>
              <w:widowControl/>
              <w:jc w:val="center"/>
              <w:rPr>
                <w:rFonts w:hint="eastAsia" w:ascii="仿宋_GB2312" w:hAnsi="宋体" w:eastAsia="仿宋_GB2312" w:cs="宋体"/>
                <w:kern w:val="0"/>
                <w:sz w:val="24"/>
                <w:szCs w:val="24"/>
              </w:rPr>
            </w:pPr>
            <w:r>
              <w:rPr>
                <w:rFonts w:hint="eastAsia" w:ascii="仿宋_GB2312" w:hAnsi="宋体" w:eastAsia="仿宋_GB2312" w:cs="宋体"/>
                <w:color w:val="333333"/>
                <w:kern w:val="0"/>
                <w:szCs w:val="21"/>
              </w:rPr>
              <w:t>0</w:t>
            </w:r>
          </w:p>
        </w:tc>
      </w:tr>
    </w:tbl>
    <w:p>
      <w:pPr>
        <w:widowControl/>
        <w:jc w:val="left"/>
        <w:rPr>
          <w:rFonts w:hint="eastAsia" w:ascii="仿宋_GB2312" w:hAnsi="微软雅黑" w:eastAsia="仿宋_GB2312" w:cs="宋体"/>
          <w:color w:val="000000"/>
          <w:kern w:val="0"/>
          <w:sz w:val="17"/>
          <w:szCs w:val="17"/>
        </w:rPr>
      </w:pPr>
      <w:r>
        <w:rPr>
          <w:rFonts w:hint="eastAsia" w:ascii="黑体" w:hAnsi="黑体" w:eastAsia="黑体" w:cs="宋体"/>
          <w:color w:val="000000"/>
          <w:kern w:val="0"/>
          <w:sz w:val="32"/>
          <w:szCs w:val="32"/>
        </w:rPr>
        <w:t xml:space="preserve">    五、存在的主要问题及改进情况</w:t>
      </w:r>
      <w:r>
        <w:rPr>
          <w:rFonts w:hint="eastAsia" w:ascii="黑体" w:hAnsi="黑体" w:eastAsia="MS Gothic" w:cs="MS Gothic"/>
          <w:color w:val="000000"/>
          <w:kern w:val="0"/>
          <w:sz w:val="32"/>
          <w:szCs w:val="32"/>
        </w:rPr>
        <w:t> </w:t>
      </w:r>
      <w:r>
        <w:rPr>
          <w:rFonts w:hint="eastAsia" w:ascii="仿宋_GB2312" w:hAnsi="MS Gothic" w:eastAsia="MS Gothic" w:cs="MS Gothic"/>
          <w:color w:val="000000"/>
          <w:kern w:val="0"/>
          <w:sz w:val="17"/>
          <w:szCs w:val="17"/>
        </w:rPr>
        <w:t> </w:t>
      </w:r>
    </w:p>
    <w:p>
      <w:pPr>
        <w:widowControl/>
        <w:jc w:val="left"/>
        <w:rPr>
          <w:rFonts w:hint="eastAsia" w:ascii="仿宋_GB2312" w:hAnsi="微软雅黑" w:eastAsia="仿宋_GB2312" w:cs="宋体"/>
          <w:color w:val="000000"/>
          <w:kern w:val="0"/>
          <w:sz w:val="32"/>
          <w:szCs w:val="32"/>
        </w:rPr>
      </w:pPr>
      <w:r>
        <w:rPr>
          <w:rFonts w:hint="eastAsia" w:ascii="仿宋_GB2312" w:hAnsi="微软雅黑" w:eastAsia="仿宋_GB2312" w:cs="宋体"/>
          <w:color w:val="000000"/>
          <w:kern w:val="0"/>
          <w:sz w:val="17"/>
          <w:szCs w:val="17"/>
        </w:rPr>
        <w:t xml:space="preserve">  </w:t>
      </w:r>
      <w:r>
        <w:rPr>
          <w:rFonts w:hint="eastAsia" w:ascii="仿宋_GB2312" w:hAnsi="微软雅黑" w:eastAsia="仿宋_GB2312" w:cs="宋体"/>
          <w:color w:val="000000"/>
          <w:kern w:val="0"/>
          <w:sz w:val="32"/>
          <w:szCs w:val="32"/>
        </w:rPr>
        <w:t xml:space="preserve">  20</w:t>
      </w:r>
      <w:r>
        <w:rPr>
          <w:rFonts w:hint="eastAsia" w:ascii="仿宋_GB2312" w:hAnsi="微软雅黑" w:eastAsia="仿宋_GB2312" w:cs="宋体"/>
          <w:color w:val="000000"/>
          <w:kern w:val="0"/>
          <w:sz w:val="32"/>
          <w:szCs w:val="32"/>
          <w:lang w:val="en-US" w:eastAsia="zh-CN"/>
        </w:rPr>
        <w:t>20</w:t>
      </w:r>
      <w:r>
        <w:rPr>
          <w:rFonts w:hint="eastAsia" w:ascii="仿宋_GB2312" w:hAnsi="微软雅黑" w:eastAsia="仿宋_GB2312" w:cs="宋体"/>
          <w:color w:val="000000"/>
          <w:kern w:val="0"/>
          <w:sz w:val="32"/>
          <w:szCs w:val="32"/>
        </w:rPr>
        <w:t>年，人社信息公开工作取得了一定的成效，积累了一些经验，但也存在着一些问题：一是信息公开内容还不够全面;二是群众对人社信息公开参与意识淡薄，对信息公开工作监督意识不浓厚;三是部分信息更新还不够及时。</w:t>
      </w:r>
      <w:r>
        <w:rPr>
          <w:rFonts w:hint="eastAsia" w:ascii="仿宋_GB2312" w:hAnsi="MS Gothic" w:eastAsia="MS Gothic" w:cs="MS Gothic"/>
          <w:color w:val="000000"/>
          <w:kern w:val="0"/>
          <w:sz w:val="32"/>
          <w:szCs w:val="32"/>
        </w:rPr>
        <w:t>  </w:t>
      </w:r>
    </w:p>
    <w:p>
      <w:pPr>
        <w:widowControl/>
        <w:jc w:val="left"/>
        <w:rPr>
          <w:rFonts w:hint="eastAsia" w:ascii="仿宋_GB2312" w:hAnsi="微软雅黑" w:eastAsia="仿宋_GB2312" w:cs="宋体"/>
          <w:color w:val="000000"/>
          <w:kern w:val="0"/>
          <w:sz w:val="17"/>
          <w:szCs w:val="17"/>
        </w:rPr>
      </w:pPr>
      <w:r>
        <w:rPr>
          <w:rFonts w:hint="eastAsia" w:ascii="仿宋_GB2312" w:hAnsi="微软雅黑" w:eastAsia="仿宋_GB2312" w:cs="宋体"/>
          <w:color w:val="000000"/>
          <w:kern w:val="0"/>
          <w:sz w:val="32"/>
          <w:szCs w:val="32"/>
        </w:rPr>
        <w:t xml:space="preserve">    针对存在的问题，市人社局将加强信息的收集与公开，努力将信息收集与公开同步进行，确保信息的及时、准确、全面。增加信息公开渠道，利用互联网、微博、微信等新媒体丰富信息公开形式，努力扩大信息公开覆盖面。在加强宣传上下功夫，利用“政务公开日”活动等契机有针对性地向群众宣传实行政务公开、民主管理的法律、法规和政策，加大宣传力度，在潜移默化中提高群众对政务公开意义的了解，消除误区和片面性，克服认识上的障碍，激发广大群众的主人翁意识，提高参与民主管理的积极性。</w:t>
      </w:r>
      <w:r>
        <w:rPr>
          <w:rFonts w:hint="eastAsia" w:ascii="仿宋_GB2312" w:hAnsi="MS Gothic" w:eastAsia="MS Gothic" w:cs="MS Gothic"/>
          <w:color w:val="000000"/>
          <w:kern w:val="0"/>
          <w:sz w:val="32"/>
          <w:szCs w:val="32"/>
        </w:rPr>
        <w:t> </w:t>
      </w:r>
      <w:r>
        <w:rPr>
          <w:rFonts w:hint="eastAsia" w:ascii="仿宋_GB2312" w:hAnsi="MS Gothic" w:eastAsia="MS Gothic" w:cs="MS Gothic"/>
          <w:color w:val="000000"/>
          <w:kern w:val="0"/>
          <w:sz w:val="17"/>
          <w:szCs w:val="17"/>
        </w:rPr>
        <w:t> </w:t>
      </w:r>
    </w:p>
    <w:p>
      <w:pPr>
        <w:widowControl/>
        <w:jc w:val="left"/>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 xml:space="preserve">    六、其他需要报告的事项</w:t>
      </w:r>
    </w:p>
    <w:p>
      <w:pPr>
        <w:widowControl/>
        <w:jc w:val="left"/>
        <w:rPr>
          <w:rFonts w:hint="eastAsia" w:ascii="仿宋_GB2312" w:hAnsi="微软雅黑" w:cs="宋体"/>
          <w:color w:val="000000"/>
          <w:kern w:val="0"/>
          <w:sz w:val="17"/>
          <w:szCs w:val="17"/>
        </w:rPr>
      </w:pPr>
      <w:r>
        <w:rPr>
          <w:rFonts w:hint="eastAsia" w:ascii="仿宋_GB2312" w:hAnsi="微软雅黑" w:eastAsia="仿宋_GB2312" w:cs="宋体"/>
          <w:color w:val="000000"/>
          <w:kern w:val="0"/>
          <w:sz w:val="17"/>
          <w:szCs w:val="17"/>
        </w:rPr>
        <w:t xml:space="preserve"> </w:t>
      </w:r>
      <w:r>
        <w:rPr>
          <w:rFonts w:hint="eastAsia" w:ascii="仿宋_GB2312" w:hAnsi="微软雅黑" w:eastAsia="仿宋_GB2312" w:cs="宋体"/>
          <w:color w:val="000000"/>
          <w:kern w:val="0"/>
          <w:sz w:val="32"/>
          <w:szCs w:val="32"/>
        </w:rPr>
        <w:t xml:space="preserve">   202</w:t>
      </w:r>
      <w:r>
        <w:rPr>
          <w:rFonts w:hint="eastAsia" w:ascii="仿宋_GB2312" w:hAnsi="微软雅黑" w:eastAsia="仿宋_GB2312" w:cs="宋体"/>
          <w:color w:val="000000"/>
          <w:kern w:val="0"/>
          <w:sz w:val="32"/>
          <w:szCs w:val="32"/>
          <w:lang w:val="en-US" w:eastAsia="zh-CN"/>
        </w:rPr>
        <w:t>1</w:t>
      </w:r>
      <w:r>
        <w:rPr>
          <w:rFonts w:hint="eastAsia" w:ascii="仿宋_GB2312" w:hAnsi="微软雅黑" w:eastAsia="仿宋_GB2312" w:cs="宋体"/>
          <w:color w:val="000000"/>
          <w:kern w:val="0"/>
          <w:sz w:val="32"/>
          <w:szCs w:val="32"/>
        </w:rPr>
        <w:t>年，我局将继续深入推进政府信息公开，特别是就业和社会保障领域信息公开标准化、规范化工作，保障群众的知情权、参与权、监督权，让群众满意，让领导放心。</w:t>
      </w:r>
    </w:p>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MS Gothic">
    <w:panose1 w:val="020B0609070205080204"/>
    <w:charset w:val="80"/>
    <w:family w:val="modern"/>
    <w:pitch w:val="default"/>
    <w:sig w:usb0="E00002FF" w:usb1="6AC7FDFB" w:usb2="00000012" w:usb3="00000000" w:csb0="4002009F" w:csb1="DFD70000"/>
  </w:font>
  <w:font w:name="MS Mincho">
    <w:panose1 w:val="02020609040205080304"/>
    <w:charset w:val="80"/>
    <w:family w:val="modern"/>
    <w:pitch w:val="default"/>
    <w:sig w:usb0="E00002FF" w:usb1="6AC7FDFB" w:usb2="00000012" w:usb3="00000000" w:csb0="4002009F" w:csb1="DFD7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81B"/>
    <w:rsid w:val="00001B61"/>
    <w:rsid w:val="002261D2"/>
    <w:rsid w:val="002326A3"/>
    <w:rsid w:val="004E630D"/>
    <w:rsid w:val="00617F23"/>
    <w:rsid w:val="006971DD"/>
    <w:rsid w:val="007B58AB"/>
    <w:rsid w:val="007F03F7"/>
    <w:rsid w:val="0089081B"/>
    <w:rsid w:val="00C24D9D"/>
    <w:rsid w:val="00C66A37"/>
    <w:rsid w:val="00D13132"/>
    <w:rsid w:val="00F95A0B"/>
    <w:rsid w:val="60E26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semiHidden/>
    <w:unhideWhenUsed/>
    <w:uiPriority w:val="99"/>
    <w:pPr>
      <w:widowControl/>
      <w:spacing w:before="100" w:beforeAutospacing="1" w:after="100" w:afterAutospacing="1" w:line="240" w:lineRule="auto"/>
      <w:jc w:val="left"/>
    </w:pPr>
    <w:rPr>
      <w:rFonts w:ascii="宋体" w:hAnsi="宋体" w:eastAsia="宋体" w:cs="宋体"/>
      <w:kern w:val="0"/>
      <w:sz w:val="24"/>
      <w:szCs w:val="24"/>
    </w:rPr>
  </w:style>
  <w:style w:type="table" w:styleId="4">
    <w:name w:val="Table Grid"/>
    <w:basedOn w:val="3"/>
    <w:qFormat/>
    <w:uiPriority w:val="59"/>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6">
    <w:name w:val="p0"/>
    <w:basedOn w:val="1"/>
    <w:uiPriority w:val="0"/>
    <w:pPr>
      <w:widowControl/>
      <w:spacing w:before="100" w:beforeAutospacing="1" w:after="100" w:afterAutospacing="1" w:line="240" w:lineRule="auto"/>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Pages>
  <Words>453</Words>
  <Characters>2587</Characters>
  <Lines>21</Lines>
  <Paragraphs>6</Paragraphs>
  <TotalTime>53</TotalTime>
  <ScaleCrop>false</ScaleCrop>
  <LinksUpToDate>false</LinksUpToDate>
  <CharactersWithSpaces>3034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2020-01-23T00:35:00Z</dcterms:created>
  <dc:creator>dreamsummit</dc:creator>
  <cp:lastModifiedBy>A 鹏击九天A</cp:lastModifiedBy>
  <dcterms:modified xsi:type="dcterms:W3CDTF">2021-01-20T01:57:03Z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